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638A" w:rsidP="008363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CPPSEC3041 Conduct routine service of security equipment and systems</w:t>
      </w:r>
      <w:r>
        <w:fldChar w:fldCharType="end"/>
      </w:r>
    </w:p>
    <w:p w:rsidR="0083638A" w:rsidP="0083638A">
      <w:pPr>
        <w:pStyle w:val="Version"/>
        <w:sectPr w:rsidSect="007266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6610" w:rsidP="00726610">
      <w:pPr>
        <w:pStyle w:val="SuperHeading"/>
      </w:pPr>
      <w:r w:rsidRPr="00726610">
        <w:t>Assessment Requirements for CPPSEC3041 Conduct routine service of security equipment and systems</w:t>
      </w:r>
    </w:p>
    <w:p w:rsidR="00000000" w:rsidRPr="00726610" w:rsidP="00726610">
      <w:pPr>
        <w:pStyle w:val="Heading1"/>
      </w:pPr>
      <w:bookmarkStart w:id="1" w:name="O_1053139"/>
      <w:bookmarkEnd w:id="1"/>
      <w:r w:rsidRPr="007266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26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610">
            <w:pPr>
              <w:pStyle w:val="BodyText"/>
              <w:rPr>
                <w:lang w:val="en-NZ"/>
              </w:rPr>
            </w:pPr>
            <w:r w:rsidRPr="0072661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610" w:rsidP="00726610">
            <w:pPr>
              <w:pStyle w:val="BodyText"/>
            </w:pPr>
            <w:r w:rsidRPr="00726610">
              <w:t>This version first released with CPP Property Services Training Package Release 9.0.</w:t>
            </w:r>
          </w:p>
          <w:p w:rsidR="00000000" w:rsidRPr="00726610" w:rsidP="00726610">
            <w:pPr>
              <w:pStyle w:val="BodyText"/>
            </w:pPr>
            <w:r w:rsidRPr="00726610">
              <w:t>Supersedes and is equivalent to CPPSEC3041A Maintain and service security equipment and system. Updated to meet the Standards for Training Packages.</w:t>
            </w:r>
          </w:p>
        </w:tc>
      </w:tr>
    </w:tbl>
    <w:p w:rsidR="00000000" w:rsidRPr="00726610" w:rsidP="00726610">
      <w:pPr>
        <w:pStyle w:val="BodyText"/>
      </w:pPr>
    </w:p>
    <w:p w:rsidR="00000000" w:rsidRPr="00726610" w:rsidP="00726610">
      <w:pPr>
        <w:pStyle w:val="AllowPageBreak"/>
      </w:pPr>
    </w:p>
    <w:p w:rsidR="00000000" w:rsidRPr="00726610" w:rsidP="00726610">
      <w:pPr>
        <w:pStyle w:val="Heading1"/>
      </w:pPr>
      <w:bookmarkStart w:id="2" w:name="O_1053142"/>
      <w:bookmarkEnd w:id="2"/>
      <w:r w:rsidRPr="00726610">
        <w:t>Performance Evidence</w:t>
      </w:r>
    </w:p>
    <w:p w:rsidR="00000000" w:rsidRPr="00726610" w:rsidP="0083638A">
      <w:pPr>
        <w:pStyle w:val="BodyText"/>
      </w:pPr>
      <w:r w:rsidRPr="00726610">
        <w:t xml:space="preserve">To demonstrate competency, a candidate must meet the performance </w:t>
      </w:r>
      <w:r w:rsidRPr="00726610">
        <w:t>criteria of this unit by conducting routine servicing of three different types of security equipment and systems, one of which must be an internet protocol (IP) networked installation.</w:t>
      </w:r>
    </w:p>
    <w:p w:rsidR="00000000" w:rsidRPr="00726610" w:rsidP="00726610">
      <w:pPr>
        <w:pStyle w:val="Heading1"/>
      </w:pPr>
      <w:bookmarkStart w:id="3" w:name="O_1053141"/>
      <w:bookmarkEnd w:id="3"/>
      <w:r w:rsidRPr="00726610">
        <w:t>Knowledge Evidence</w:t>
      </w:r>
    </w:p>
    <w:p w:rsidR="00000000" w:rsidRPr="00726610" w:rsidP="0083638A">
      <w:pPr>
        <w:pStyle w:val="BodyText"/>
      </w:pPr>
      <w:r w:rsidRPr="00726610">
        <w:t>To be competent in this unit, a c</w:t>
      </w:r>
      <w:r w:rsidRPr="00726610">
        <w:t>andidate must demonstrate knowledge of:</w:t>
      </w:r>
    </w:p>
    <w:p w:rsidR="00000000" w:rsidRPr="00726610" w:rsidP="00726610">
      <w:pPr>
        <w:pStyle w:val="ListBullet"/>
      </w:pPr>
      <w:r w:rsidRPr="00726610">
        <w:t>workplace policies and procedures that ensure compliance with legislative and regulatory requirements when conducting routine servicing of security equipment and systems:</w:t>
      </w:r>
    </w:p>
    <w:p w:rsidR="00000000" w:rsidRPr="00726610" w:rsidP="00726610">
      <w:pPr>
        <w:pStyle w:val="ListBullet2"/>
      </w:pPr>
      <w:r w:rsidRPr="00726610">
        <w:t>licensing requirements and limits of own au</w:t>
      </w:r>
      <w:r w:rsidRPr="00726610">
        <w:t>thority</w:t>
      </w:r>
    </w:p>
    <w:p w:rsidR="00000000" w:rsidRPr="00726610" w:rsidP="00726610">
      <w:pPr>
        <w:pStyle w:val="ListBullet2"/>
      </w:pPr>
      <w:r w:rsidRPr="00726610">
        <w:t>privacy requirements</w:t>
      </w:r>
    </w:p>
    <w:p w:rsidR="00000000" w:rsidRPr="00726610" w:rsidP="00726610">
      <w:pPr>
        <w:pStyle w:val="ListBullet2"/>
      </w:pPr>
      <w:r w:rsidRPr="00726610">
        <w:t>reporting and documentation</w:t>
      </w:r>
    </w:p>
    <w:p w:rsidR="00000000" w:rsidRPr="00726610" w:rsidP="00726610">
      <w:pPr>
        <w:pStyle w:val="ListBullet2"/>
      </w:pPr>
      <w:r w:rsidRPr="00726610">
        <w:t>requirements for complying with Australian Communications and Media Authority cabling rules</w:t>
      </w:r>
    </w:p>
    <w:p w:rsidR="00000000" w:rsidRPr="00726610" w:rsidP="00726610">
      <w:pPr>
        <w:pStyle w:val="ListBullet2"/>
      </w:pPr>
      <w:r w:rsidRPr="00726610">
        <w:t>work health and safety</w:t>
      </w:r>
    </w:p>
    <w:p w:rsidR="00000000" w:rsidRPr="00726610" w:rsidP="00726610">
      <w:pPr>
        <w:pStyle w:val="ListBullet"/>
      </w:pPr>
      <w:r w:rsidRPr="00726610">
        <w:t xml:space="preserve">application of </w:t>
      </w:r>
      <w:r w:rsidRPr="00726610">
        <w:rPr>
          <w:rStyle w:val="Emphasis"/>
        </w:rPr>
        <w:t>AS/NZS 2201.1:2007 Intruder alarm systems – Client’s premises –</w:t>
      </w:r>
      <w:r w:rsidRPr="00726610">
        <w:rPr>
          <w:rStyle w:val="Emphasis"/>
        </w:rPr>
        <w:t xml:space="preserve"> Design, installation, commissioning and maintenance</w:t>
      </w:r>
      <w:r w:rsidRPr="00726610">
        <w:t xml:space="preserve"> (AS/NZS 2201) when servicing security equipment and systems</w:t>
      </w:r>
    </w:p>
    <w:p w:rsidR="00000000" w:rsidRPr="00726610" w:rsidP="00726610">
      <w:pPr>
        <w:pStyle w:val="ListBullet"/>
      </w:pPr>
      <w:r w:rsidRPr="00726610">
        <w:t>cable identification, termination and connection procedures associated with repairing installed security equipment and systems</w:t>
      </w:r>
    </w:p>
    <w:p w:rsidR="00000000" w:rsidRPr="00726610" w:rsidP="00726610">
      <w:pPr>
        <w:pStyle w:val="ListBullet"/>
      </w:pPr>
      <w:r w:rsidRPr="00726610">
        <w:t>documentation to</w:t>
      </w:r>
      <w:r w:rsidRPr="00726610">
        <w:t xml:space="preserve"> be completed when conducting routine servicing of security equipment and systems to ensure compliance with licensing and warranty requirements</w:t>
      </w:r>
    </w:p>
    <w:p w:rsidR="00000000" w:rsidRPr="00726610" w:rsidP="00726610">
      <w:pPr>
        <w:pStyle w:val="ListBullet"/>
      </w:pPr>
      <w:r w:rsidRPr="00726610">
        <w:t>maintenance schedule requirements for security equipment and systems</w:t>
      </w:r>
    </w:p>
    <w:p w:rsidR="00000000" w:rsidRPr="00726610" w:rsidP="00726610">
      <w:pPr>
        <w:pStyle w:val="ListBullet"/>
      </w:pPr>
      <w:r w:rsidRPr="00726610">
        <w:t>methods for reinstating IP networked system</w:t>
      </w:r>
      <w:r w:rsidRPr="00726610">
        <w:t>s and equipment and ensuring they are properly secured</w:t>
      </w:r>
    </w:p>
    <w:p w:rsidR="00000000" w:rsidRPr="00726610" w:rsidP="00726610">
      <w:pPr>
        <w:pStyle w:val="ListBullet"/>
      </w:pPr>
      <w:r w:rsidRPr="00726610">
        <w:t>routine service procedures for a range of security equipment and systems and repairs permitted within scope of own role, authority and competence</w:t>
      </w:r>
    </w:p>
    <w:p w:rsidR="00000000" w:rsidRPr="00726610" w:rsidP="00726610">
      <w:pPr>
        <w:pStyle w:val="ListBullet"/>
      </w:pPr>
      <w:r w:rsidRPr="00726610">
        <w:t>security equipment calibration requirements</w:t>
      </w:r>
    </w:p>
    <w:p w:rsidR="00000000" w:rsidRPr="00726610" w:rsidP="00726610">
      <w:pPr>
        <w:pStyle w:val="ListBullet"/>
      </w:pPr>
      <w:r w:rsidRPr="00726610">
        <w:t xml:space="preserve">techniques </w:t>
      </w:r>
      <w:r w:rsidRPr="00726610">
        <w:t>for recognising routine and complex faults in security equipment and systems</w:t>
      </w:r>
    </w:p>
    <w:p w:rsidR="00000000" w:rsidRPr="00726610" w:rsidP="00726610">
      <w:pPr>
        <w:pStyle w:val="ListBullet"/>
      </w:pPr>
      <w:r w:rsidRPr="00726610">
        <w:t>tests to confirm security equipment and system functionality</w:t>
      </w:r>
    </w:p>
    <w:p w:rsidR="00000000" w:rsidRPr="00726610" w:rsidP="00726610">
      <w:pPr>
        <w:pStyle w:val="ListBullet"/>
      </w:pPr>
      <w:r w:rsidRPr="00726610">
        <w:t>tools and equipment including personal protective equipment (PPE) used when routinely servicing security equipment and</w:t>
      </w:r>
      <w:r w:rsidRPr="00726610">
        <w:t xml:space="preserve"> systems</w:t>
      </w:r>
    </w:p>
    <w:p w:rsidR="00000000" w:rsidRPr="00726610" w:rsidP="00726610">
      <w:pPr>
        <w:pStyle w:val="ListBullet"/>
      </w:pPr>
      <w:r w:rsidRPr="00726610">
        <w:t>types, functions and features of a range of security equipment and systems:</w:t>
      </w:r>
    </w:p>
    <w:p w:rsidR="00000000" w:rsidRPr="00726610" w:rsidP="00726610">
      <w:pPr>
        <w:pStyle w:val="ListBullet2"/>
      </w:pPr>
      <w:r w:rsidRPr="00726610">
        <w:t>access control systems</w:t>
      </w:r>
    </w:p>
    <w:p w:rsidR="00000000" w:rsidRPr="00726610" w:rsidP="00726610">
      <w:pPr>
        <w:pStyle w:val="ListBullet2"/>
      </w:pPr>
      <w:r w:rsidRPr="00726610">
        <w:t>audible and visual warning devices</w:t>
      </w:r>
    </w:p>
    <w:p w:rsidR="00000000" w:rsidRPr="00726610" w:rsidP="00726610">
      <w:pPr>
        <w:pStyle w:val="ListBullet2"/>
      </w:pPr>
      <w:r w:rsidRPr="00726610">
        <w:t>cameras and monitors</w:t>
      </w:r>
    </w:p>
    <w:p w:rsidR="00000000" w:rsidRPr="00726610" w:rsidP="00726610">
      <w:pPr>
        <w:pStyle w:val="ListBullet2"/>
      </w:pPr>
      <w:r w:rsidRPr="00726610">
        <w:t>commercial and residential alarm systems</w:t>
      </w:r>
    </w:p>
    <w:p w:rsidR="00000000" w:rsidRPr="00726610" w:rsidP="00726610">
      <w:pPr>
        <w:pStyle w:val="ListBullet2"/>
      </w:pPr>
      <w:r w:rsidRPr="00726610">
        <w:t>detection devices</w:t>
      </w:r>
    </w:p>
    <w:p w:rsidR="00000000" w:rsidRPr="00726610" w:rsidP="00726610">
      <w:pPr>
        <w:pStyle w:val="ListBullet2"/>
      </w:pPr>
      <w:r w:rsidRPr="00726610">
        <w:t>electronic and mechanical fire safety and fire locking systems</w:t>
      </w:r>
    </w:p>
    <w:p w:rsidR="00000000" w:rsidRPr="00726610" w:rsidP="00726610">
      <w:pPr>
        <w:pStyle w:val="ListBullet2"/>
      </w:pPr>
      <w:r w:rsidRPr="00726610">
        <w:t>electronic locks and locking systems</w:t>
      </w:r>
    </w:p>
    <w:p w:rsidR="00000000" w:rsidRPr="00726610" w:rsidP="00726610">
      <w:pPr>
        <w:pStyle w:val="ListBullet2"/>
      </w:pPr>
      <w:r w:rsidRPr="00726610">
        <w:t>electronic readers</w:t>
      </w:r>
    </w:p>
    <w:p w:rsidR="00000000" w:rsidRPr="00726610" w:rsidP="00726610">
      <w:pPr>
        <w:pStyle w:val="ListBullet2"/>
      </w:pPr>
      <w:r w:rsidRPr="00726610">
        <w:t>electronic screen equipment</w:t>
      </w:r>
    </w:p>
    <w:p w:rsidR="00000000" w:rsidRPr="00726610" w:rsidP="00726610">
      <w:pPr>
        <w:pStyle w:val="ListBullet2"/>
      </w:pPr>
      <w:r w:rsidRPr="00726610">
        <w:t>intercoms and control panels</w:t>
      </w:r>
    </w:p>
    <w:p w:rsidR="00000000" w:rsidRPr="00726610" w:rsidP="00726610">
      <w:pPr>
        <w:pStyle w:val="ListBullet2"/>
      </w:pPr>
      <w:r w:rsidRPr="00726610">
        <w:t>security doors and door controls</w:t>
      </w:r>
    </w:p>
    <w:p w:rsidR="00000000" w:rsidRPr="00726610" w:rsidP="00726610">
      <w:pPr>
        <w:pStyle w:val="ListBullet"/>
      </w:pPr>
      <w:r w:rsidRPr="00726610">
        <w:t>types of earthing systems used in electrical i</w:t>
      </w:r>
      <w:r w:rsidRPr="00726610">
        <w:t>nstallations</w:t>
      </w:r>
    </w:p>
    <w:p w:rsidR="00000000" w:rsidRPr="00726610" w:rsidP="00726610">
      <w:pPr>
        <w:pStyle w:val="ListBullet"/>
      </w:pPr>
      <w:r w:rsidRPr="00726610">
        <w:t>typical hazards encountered when conducting routine servicing of security equipment and systems and the control measures for each:</w:t>
      </w:r>
    </w:p>
    <w:p w:rsidR="00000000" w:rsidRPr="00726610" w:rsidP="00726610">
      <w:pPr>
        <w:pStyle w:val="ListBullet2"/>
      </w:pPr>
      <w:r w:rsidRPr="00726610">
        <w:t>confined spaces</w:t>
      </w:r>
    </w:p>
    <w:p w:rsidR="00000000" w:rsidRPr="00726610" w:rsidP="00726610">
      <w:pPr>
        <w:pStyle w:val="ListBullet2"/>
      </w:pPr>
      <w:r w:rsidRPr="00726610">
        <w:t>electrical</w:t>
      </w:r>
    </w:p>
    <w:p w:rsidR="00000000" w:rsidRPr="00726610" w:rsidP="00726610">
      <w:pPr>
        <w:pStyle w:val="ListBullet2"/>
      </w:pPr>
      <w:r w:rsidRPr="00726610">
        <w:t>hazardous materials and chemicals</w:t>
      </w:r>
    </w:p>
    <w:p w:rsidR="00000000" w:rsidRPr="00726610" w:rsidP="00726610">
      <w:pPr>
        <w:pStyle w:val="ListBullet2"/>
      </w:pPr>
      <w:r w:rsidRPr="00726610">
        <w:t>hidden utilities</w:t>
      </w:r>
    </w:p>
    <w:p w:rsidR="00000000" w:rsidRPr="00726610" w:rsidP="00726610">
      <w:pPr>
        <w:pStyle w:val="ListBullet2"/>
      </w:pPr>
      <w:r w:rsidRPr="00726610">
        <w:t>people in the work area</w:t>
      </w:r>
    </w:p>
    <w:p w:rsidR="00000000" w:rsidRPr="00726610" w:rsidP="00726610">
      <w:pPr>
        <w:pStyle w:val="ListBullet2"/>
      </w:pPr>
      <w:r w:rsidRPr="00726610">
        <w:t>power tools</w:t>
      </w:r>
    </w:p>
    <w:p w:rsidR="00000000" w:rsidRPr="00726610" w:rsidP="00726610">
      <w:pPr>
        <w:pStyle w:val="ListBullet2"/>
      </w:pPr>
      <w:r w:rsidRPr="00726610">
        <w:t>vermin.</w:t>
      </w:r>
    </w:p>
    <w:p w:rsidR="00000000" w:rsidRPr="00726610" w:rsidP="00726610">
      <w:pPr>
        <w:pStyle w:val="AllowPageBreak"/>
      </w:pPr>
    </w:p>
    <w:p w:rsidR="00000000" w:rsidRPr="00726610" w:rsidP="00726610">
      <w:pPr>
        <w:pStyle w:val="Heading1"/>
      </w:pPr>
      <w:bookmarkStart w:id="4" w:name="O_1053140"/>
      <w:bookmarkEnd w:id="4"/>
      <w:r w:rsidRPr="00726610">
        <w:t>Assessment Conditions</w:t>
      </w:r>
    </w:p>
    <w:p w:rsidR="00000000" w:rsidRPr="00726610" w:rsidP="0083638A">
      <w:pPr>
        <w:pStyle w:val="BodyText"/>
      </w:pPr>
      <w:r w:rsidRPr="00726610">
        <w:t>Assessors must meet the requirements for assessors contained in the Standards for Registered Training Organisations.</w:t>
      </w:r>
    </w:p>
    <w:p w:rsidR="00000000" w:rsidRPr="00726610" w:rsidP="0083638A">
      <w:pPr>
        <w:pStyle w:val="BodyText"/>
      </w:pPr>
      <w:r w:rsidRPr="00726610">
        <w:t>All individuals engaged by a licensed RTO for security licensing purposes must</w:t>
      </w:r>
      <w:r w:rsidRPr="00726610">
        <w:t xml:space="preserve"> hold both a security trainers licence (where such a licence exists within the relevant jurisdiction) and the licence for performing the security activities for which the individual is providing training or assessment.  Regulators may impose other assessor</w:t>
      </w:r>
      <w:r w:rsidRPr="00726610">
        <w:t xml:space="preserve"> conditions to meet jurisdictional assessment requirements.</w:t>
      </w:r>
    </w:p>
    <w:p w:rsidR="00000000" w:rsidRPr="00726610" w:rsidP="0083638A">
      <w:pPr>
        <w:pStyle w:val="BodyText"/>
      </w:pPr>
      <w:r w:rsidRPr="00726610">
        <w:t>Assessment must be conducted in the workplace or in a simulated workplace environment. Candidates must have access to:</w:t>
      </w:r>
    </w:p>
    <w:p w:rsidR="00000000" w:rsidRPr="00726610" w:rsidP="00726610">
      <w:pPr>
        <w:pStyle w:val="ListBullet"/>
      </w:pPr>
      <w:r w:rsidRPr="00726610">
        <w:t>workplace policies and procedures, work instructions, documentation, securit</w:t>
      </w:r>
      <w:r w:rsidRPr="00726610">
        <w:t>y equipment and systems, PPE and tools required to achieve the performance evidence</w:t>
      </w:r>
    </w:p>
    <w:p w:rsidR="00000000" w:rsidRPr="00726610" w:rsidP="00726610">
      <w:pPr>
        <w:pStyle w:val="ListBullet"/>
      </w:pPr>
      <w:r w:rsidRPr="00726610">
        <w:t>manufacturers’ instructions for equipment to be serviced</w:t>
      </w:r>
    </w:p>
    <w:p w:rsidR="00000000" w:rsidRPr="00726610" w:rsidP="00726610">
      <w:pPr>
        <w:pStyle w:val="ListBullet"/>
      </w:pPr>
      <w:r w:rsidRPr="00726610">
        <w:t>AS/NZS 2201.</w:t>
      </w:r>
    </w:p>
    <w:p w:rsidR="00000000" w:rsidRPr="00726610" w:rsidP="00726610">
      <w:pPr>
        <w:pStyle w:val="AllowPageBreak"/>
      </w:pPr>
    </w:p>
    <w:p w:rsidR="00000000" w:rsidRPr="00726610" w:rsidP="00726610">
      <w:pPr>
        <w:pStyle w:val="Heading1"/>
      </w:pPr>
      <w:bookmarkStart w:id="5" w:name="O_1053138"/>
      <w:bookmarkEnd w:id="5"/>
      <w:r w:rsidRPr="00726610">
        <w:t>Links</w:t>
      </w:r>
    </w:p>
    <w:p w:rsidR="00000000" w:rsidRPr="00726610" w:rsidP="0083638A">
      <w:pPr>
        <w:pStyle w:val="BodyText"/>
      </w:pPr>
      <w:r w:rsidRPr="0072661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628A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26610" w:rsidP="00726610"/>
    <w:sectPr w:rsidSect="007266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6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610" w:rsidRPr="0083638A" w:rsidP="008363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6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38A" w:rsidP="007266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638A" w:rsidP="007266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3638A" w:rsidP="007266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6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3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6610" w:rsidRPr="0083638A" w:rsidP="008363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6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38A" w:rsidRPr="002D2AF8" w:rsidP="007266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CPPSEC3041 Conduct routine service of security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3638A" w:rsidP="007266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2E32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C67D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981C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66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66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66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66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66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66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66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66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66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66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6610"/>
  </w:style>
  <w:style w:type="character" w:customStyle="1" w:styleId="Heading1Char">
    <w:name w:val="Heading 1 Char"/>
    <w:basedOn w:val="DefaultParagraphFont"/>
    <w:link w:val="Heading1"/>
    <w:rsid w:val="007266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66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66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66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661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6610"/>
    <w:rPr>
      <w:i/>
    </w:rPr>
  </w:style>
  <w:style w:type="paragraph" w:customStyle="1" w:styleId="SuperHeading">
    <w:name w:val="SuperHeading"/>
    <w:basedOn w:val="Normal"/>
    <w:rsid w:val="007266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66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66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66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66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6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6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6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6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66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66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66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66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66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66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66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66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66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66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66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66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66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6610"/>
    <w:rPr>
      <w:b/>
      <w:spacing w:val="0"/>
    </w:rPr>
  </w:style>
  <w:style w:type="paragraph" w:customStyle="1" w:styleId="SuperTitle">
    <w:name w:val="SuperTitle"/>
    <w:basedOn w:val="Title"/>
    <w:rsid w:val="007266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66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66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66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66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66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66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66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66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66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66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66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66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66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66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6610"/>
  </w:style>
  <w:style w:type="paragraph" w:styleId="TableofFigures">
    <w:name w:val="table of figures"/>
    <w:basedOn w:val="Normal"/>
    <w:next w:val="Normal"/>
    <w:semiHidden/>
    <w:rsid w:val="007266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66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6610"/>
    <w:rPr>
      <w:rFonts w:ascii="Wingdings" w:hAnsi="Wingdings"/>
    </w:rPr>
  </w:style>
  <w:style w:type="paragraph" w:customStyle="1" w:styleId="TableHeading">
    <w:name w:val="Table Heading"/>
    <w:basedOn w:val="HeadingBase"/>
    <w:rsid w:val="007266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6610"/>
    <w:rPr>
      <w:color w:val="0033CC"/>
      <w:u w:val="none"/>
    </w:rPr>
  </w:style>
  <w:style w:type="paragraph" w:customStyle="1" w:styleId="BodyTextRight">
    <w:name w:val="Body Text Right"/>
    <w:basedOn w:val="BodyText"/>
    <w:rsid w:val="007266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66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66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66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66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66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6610"/>
    <w:rPr>
      <w:sz w:val="32"/>
    </w:rPr>
  </w:style>
  <w:style w:type="paragraph" w:customStyle="1" w:styleId="HeadingProcedure">
    <w:name w:val="Heading Procedure"/>
    <w:basedOn w:val="HeadingBase"/>
    <w:next w:val="Normal"/>
    <w:rsid w:val="007266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6610"/>
    <w:pPr>
      <w:spacing w:before="60" w:after="60"/>
    </w:pPr>
  </w:style>
  <w:style w:type="paragraph" w:styleId="ListContinue">
    <w:name w:val="List Continue"/>
    <w:basedOn w:val="List"/>
    <w:rsid w:val="00726610"/>
    <w:pPr>
      <w:ind w:firstLine="0"/>
    </w:pPr>
  </w:style>
  <w:style w:type="paragraph" w:customStyle="1" w:styleId="ListNote">
    <w:name w:val="List Note"/>
    <w:basedOn w:val="List"/>
    <w:rsid w:val="007266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66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66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6610"/>
    <w:rPr>
      <w:rFonts w:ascii="Courier New" w:hAnsi="Courier New"/>
    </w:rPr>
  </w:style>
  <w:style w:type="paragraph" w:customStyle="1" w:styleId="NoteBullet">
    <w:name w:val="Note Bullet"/>
    <w:basedOn w:val="Note"/>
    <w:rsid w:val="007266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66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66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66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66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66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66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6610"/>
    <w:rPr>
      <w:b/>
      <w:smallCaps/>
    </w:rPr>
  </w:style>
  <w:style w:type="paragraph" w:customStyle="1" w:styleId="TableListNumber">
    <w:name w:val="Table List Number"/>
    <w:basedOn w:val="ListNumber"/>
    <w:rsid w:val="007266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66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6610"/>
    <w:pPr>
      <w:numPr>
        <w:numId w:val="9"/>
      </w:numPr>
    </w:pPr>
  </w:style>
  <w:style w:type="paragraph" w:customStyle="1" w:styleId="ListAlpha2">
    <w:name w:val="List Alpha 2"/>
    <w:basedOn w:val="List2"/>
    <w:rsid w:val="00726610"/>
    <w:pPr>
      <w:numPr>
        <w:numId w:val="8"/>
      </w:numPr>
    </w:pPr>
  </w:style>
  <w:style w:type="paragraph" w:styleId="List2">
    <w:name w:val="List 2"/>
    <w:basedOn w:val="BodyText"/>
    <w:rsid w:val="007266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66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66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66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66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66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6610"/>
    <w:pPr>
      <w:numPr>
        <w:numId w:val="4"/>
      </w:numPr>
    </w:pPr>
  </w:style>
  <w:style w:type="paragraph" w:styleId="ListContinue2">
    <w:name w:val="List Continue 2"/>
    <w:basedOn w:val="List2"/>
    <w:rsid w:val="00726610"/>
    <w:pPr>
      <w:ind w:firstLine="0"/>
    </w:pPr>
  </w:style>
  <w:style w:type="paragraph" w:styleId="ListContinue3">
    <w:name w:val="List Continue 3"/>
    <w:basedOn w:val="List3"/>
    <w:rsid w:val="00726610"/>
    <w:pPr>
      <w:ind w:left="1021" w:firstLine="0"/>
    </w:pPr>
  </w:style>
  <w:style w:type="paragraph" w:styleId="ListContinue4">
    <w:name w:val="List Continue 4"/>
    <w:basedOn w:val="List4"/>
    <w:rsid w:val="00726610"/>
    <w:pPr>
      <w:ind w:firstLine="0"/>
    </w:pPr>
  </w:style>
  <w:style w:type="paragraph" w:styleId="ListContinue5">
    <w:name w:val="List Continue 5"/>
    <w:basedOn w:val="List5"/>
    <w:rsid w:val="00726610"/>
    <w:pPr>
      <w:ind w:firstLine="0"/>
    </w:pPr>
  </w:style>
  <w:style w:type="paragraph" w:styleId="ListNumber3">
    <w:name w:val="List Number 3"/>
    <w:basedOn w:val="List3"/>
    <w:rsid w:val="00726610"/>
    <w:pPr>
      <w:numPr>
        <w:numId w:val="5"/>
      </w:numPr>
    </w:pPr>
  </w:style>
  <w:style w:type="paragraph" w:styleId="ListNumber4">
    <w:name w:val="List Number 4"/>
    <w:basedOn w:val="List4"/>
    <w:rsid w:val="00726610"/>
    <w:pPr>
      <w:numPr>
        <w:numId w:val="6"/>
      </w:numPr>
    </w:pPr>
  </w:style>
  <w:style w:type="paragraph" w:styleId="ListNumber5">
    <w:name w:val="List Number 5"/>
    <w:basedOn w:val="List5"/>
    <w:rsid w:val="00726610"/>
    <w:pPr>
      <w:numPr>
        <w:numId w:val="7"/>
      </w:numPr>
    </w:pPr>
  </w:style>
  <w:style w:type="paragraph" w:styleId="BlockText">
    <w:name w:val="Block Text"/>
    <w:basedOn w:val="Normal"/>
    <w:rsid w:val="007266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66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6610"/>
    <w:rPr>
      <w:sz w:val="16"/>
      <w:vertAlign w:val="superscript"/>
    </w:rPr>
  </w:style>
  <w:style w:type="character" w:customStyle="1" w:styleId="Symbols">
    <w:name w:val="Symbols"/>
    <w:basedOn w:val="DefaultParagraphFont"/>
    <w:rsid w:val="00726610"/>
    <w:rPr>
      <w:rFonts w:ascii="Symbol" w:hAnsi="Symbol"/>
    </w:rPr>
  </w:style>
  <w:style w:type="character" w:customStyle="1" w:styleId="MenuOptions">
    <w:name w:val="Menu Options"/>
    <w:basedOn w:val="DefaultParagraphFont"/>
    <w:rsid w:val="007266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6610"/>
    <w:rPr>
      <w:b/>
    </w:rPr>
  </w:style>
  <w:style w:type="character" w:customStyle="1" w:styleId="Underlined">
    <w:name w:val="Underlined"/>
    <w:basedOn w:val="DefaultParagraphFont"/>
    <w:rsid w:val="00726610"/>
    <w:rPr>
      <w:u w:val="single"/>
    </w:rPr>
  </w:style>
  <w:style w:type="paragraph" w:customStyle="1" w:styleId="TableBodyTextRight">
    <w:name w:val="Table Body Text Right"/>
    <w:basedOn w:val="TableBodyText"/>
    <w:rsid w:val="007266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6610"/>
    <w:rPr>
      <w:sz w:val="18"/>
    </w:rPr>
  </w:style>
  <w:style w:type="paragraph" w:customStyle="1" w:styleId="BodySmallRight">
    <w:name w:val="Body Small Right"/>
    <w:basedOn w:val="BodyTextRight"/>
    <w:rsid w:val="00726610"/>
    <w:rPr>
      <w:sz w:val="18"/>
      <w:szCs w:val="18"/>
    </w:rPr>
  </w:style>
  <w:style w:type="paragraph" w:customStyle="1" w:styleId="MarginEdition">
    <w:name w:val="Margin Edition"/>
    <w:basedOn w:val="MarginNote"/>
    <w:rsid w:val="007266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6610"/>
    <w:rPr>
      <w:sz w:val="2"/>
      <w:szCs w:val="2"/>
    </w:rPr>
  </w:style>
  <w:style w:type="character" w:customStyle="1" w:styleId="Small">
    <w:name w:val="Small"/>
    <w:basedOn w:val="DefaultParagraphFont"/>
    <w:rsid w:val="00726610"/>
    <w:rPr>
      <w:sz w:val="16"/>
    </w:rPr>
  </w:style>
  <w:style w:type="paragraph" w:customStyle="1" w:styleId="WideTable">
    <w:name w:val="Wide Table"/>
    <w:basedOn w:val="Normal"/>
    <w:rsid w:val="007266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6610"/>
  </w:style>
  <w:style w:type="paragraph" w:styleId="Quote">
    <w:name w:val="Quote"/>
    <w:basedOn w:val="Heading1"/>
    <w:link w:val="QuoteChar"/>
    <w:qFormat/>
    <w:rsid w:val="007266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66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6610"/>
    <w:pPr>
      <w:pageBreakBefore/>
    </w:pPr>
  </w:style>
  <w:style w:type="paragraph" w:customStyle="1" w:styleId="Border">
    <w:name w:val="Border"/>
    <w:basedOn w:val="Normal"/>
    <w:qFormat/>
    <w:rsid w:val="007266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66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6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6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66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66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66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66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66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6610"/>
    <w:rPr>
      <w:u w:val="single"/>
    </w:rPr>
  </w:style>
  <w:style w:type="character" w:customStyle="1" w:styleId="BoldandItalics">
    <w:name w:val="Bold and Italics"/>
    <w:qFormat/>
    <w:rsid w:val="00726610"/>
    <w:rPr>
      <w:b/>
      <w:i/>
      <w:u w:val="none"/>
    </w:rPr>
  </w:style>
  <w:style w:type="paragraph" w:styleId="BalloonText">
    <w:name w:val="Balloon Text"/>
    <w:basedOn w:val="Normal"/>
    <w:link w:val="BalloonTextChar"/>
    <w:rsid w:val="007266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66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66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66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66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66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6610"/>
    <w:pPr>
      <w:spacing w:before="0" w:after="0"/>
    </w:pPr>
  </w:style>
  <w:style w:type="paragraph" w:customStyle="1" w:styleId="BodyTextBold">
    <w:name w:val="Body Text Bold"/>
    <w:basedOn w:val="BodyText"/>
    <w:qFormat/>
    <w:rsid w:val="00726610"/>
    <w:rPr>
      <w:b/>
    </w:rPr>
  </w:style>
  <w:style w:type="character" w:styleId="Hyperlink">
    <w:name w:val="Hyperlink"/>
    <w:basedOn w:val="DefaultParagraphFont"/>
    <w:uiPriority w:val="99"/>
    <w:unhideWhenUsed/>
    <w:rsid w:val="008363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3737</Characters>
  <Application>Microsoft Office Word</Application>
  <DocSecurity>0</DocSecurity>
  <Lines>91</Lines>
  <Paragraphs>67</Paragraphs>
  <ScaleCrop>false</ScaleCrop>
  <Company>Author-it Software Corporation Ltd.</Company>
  <LinksUpToDate>false</LinksUpToDate>
  <CharactersWithSpaces>4228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CPPSEC3041 Conduct routine service of security equipment and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2023-02-03T07:16:00Z</dcterms:created>
  <dcterms:modified xsi:type="dcterms:W3CDTF">2023-02-03T07:16:00Z</dcterms:modified>
</cp:coreProperties>
</file>