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87D" w:rsidP="00C36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CPPSEC3038 Commission and decommission security equipment and systems</w:t>
      </w:r>
      <w:r>
        <w:fldChar w:fldCharType="end"/>
      </w:r>
    </w:p>
    <w:p w:rsidR="00C3687D" w:rsidP="00C3687D">
      <w:pPr>
        <w:pStyle w:val="Version"/>
        <w:sectPr w:rsidSect="00DF72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22C" w:rsidP="00DF722C">
      <w:pPr>
        <w:pStyle w:val="SuperHeading"/>
      </w:pPr>
      <w:r w:rsidRPr="00DF722C">
        <w:t>CPPSEC3038 Commission and decommission security equipment and systems</w:t>
      </w:r>
    </w:p>
    <w:p w:rsidR="00000000" w:rsidRPr="00DF722C" w:rsidP="00DF722C">
      <w:pPr>
        <w:pStyle w:val="Heading1"/>
      </w:pPr>
      <w:bookmarkStart w:id="1" w:name="O_1053092"/>
      <w:bookmarkEnd w:id="1"/>
      <w:r w:rsidRPr="00DF72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22C" w:rsidP="00DF722C">
            <w:pPr>
              <w:pStyle w:val="BodyText"/>
            </w:pPr>
            <w:r w:rsidRPr="00DF722C">
              <w:t>This version first released with CPP Property Services Training Package Release 9.0.</w:t>
            </w:r>
          </w:p>
          <w:p w:rsidR="00000000" w:rsidRPr="00DF722C" w:rsidP="00DF722C">
            <w:pPr>
              <w:pStyle w:val="BodyText"/>
            </w:pPr>
            <w:r w:rsidRPr="00DF722C">
              <w:t>Supersedes and is equivalent to CPPSEC3038A Commission and decommission security equipment and system. Updated to meet the Standards for Training Packages.</w:t>
            </w:r>
          </w:p>
        </w:tc>
      </w:tr>
    </w:tbl>
    <w:p w:rsidR="00000000" w:rsidRPr="00DF722C" w:rsidP="00DF722C">
      <w:pPr>
        <w:pStyle w:val="BodyText"/>
      </w:pPr>
    </w:p>
    <w:p w:rsidR="00000000" w:rsidRPr="00DF722C" w:rsidP="00DF722C">
      <w:pPr>
        <w:pStyle w:val="AllowPageBreak"/>
      </w:pPr>
    </w:p>
    <w:p w:rsidR="00000000" w:rsidRPr="00DF722C" w:rsidP="00DF722C">
      <w:pPr>
        <w:pStyle w:val="Heading1"/>
      </w:pPr>
      <w:bookmarkStart w:id="2" w:name="O_1053098"/>
      <w:bookmarkEnd w:id="2"/>
      <w:r w:rsidRPr="00DF722C">
        <w:t>Application</w:t>
      </w:r>
    </w:p>
    <w:p w:rsidR="00000000" w:rsidRPr="00DF722C" w:rsidP="00C3687D">
      <w:pPr>
        <w:pStyle w:val="BodyText"/>
      </w:pPr>
      <w:r w:rsidRPr="00DF722C">
        <w:t>This unit specifies the skills and knowledge required to commission</w:t>
      </w:r>
      <w:r w:rsidRPr="00DF722C">
        <w:t xml:space="preserve"> and decommission a range of security equipment and systems. Commissioning includes establishing equipment interconnections and parameters, installing software, setting configurations, loading hardware data and testing performance.  Decommissioning include</w:t>
      </w:r>
      <w:r w:rsidRPr="00DF722C">
        <w:t xml:space="preserve">s isolating existing services and terminating energy sources.  This work applies in extra low voltage environments as defined in Australian Standard </w:t>
      </w:r>
      <w:r w:rsidRPr="00DF722C">
        <w:rPr>
          <w:rStyle w:val="Emphasis"/>
        </w:rPr>
        <w:t>AS/NZS 2201.1:2007 Intruder alarm systems – Client’s premises – Design, installation, commissioning and mai</w:t>
      </w:r>
      <w:r w:rsidRPr="00DF722C">
        <w:rPr>
          <w:rStyle w:val="Emphasis"/>
        </w:rPr>
        <w:t>ntenance</w:t>
      </w:r>
      <w:r w:rsidRPr="00DF722C">
        <w:t xml:space="preserve"> (AS/NZS 2201).</w:t>
      </w:r>
    </w:p>
    <w:p w:rsidR="00000000" w:rsidRPr="00DF722C" w:rsidP="00C3687D">
      <w:pPr>
        <w:pStyle w:val="BodyText"/>
      </w:pPr>
      <w:r w:rsidRPr="00DF722C">
        <w:t>A person working at this level would be expected to take responsibility for organising and completing tasks assigned to them without close supervision.</w:t>
      </w:r>
    </w:p>
    <w:p w:rsidR="00000000" w:rsidRPr="00DF722C" w:rsidP="00C3687D">
      <w:pPr>
        <w:pStyle w:val="BodyText"/>
      </w:pPr>
      <w:r w:rsidRPr="00DF722C">
        <w:t>Licensing, legislative or certification requirements apply to advising on, suppl</w:t>
      </w:r>
      <w:r w:rsidRPr="00DF722C">
        <w:t>ying, installing, maintaining, monitoring, repairing and servicing security equipment in some states and territories.  For further information, check with the relevant regulatory authority.</w:t>
      </w:r>
    </w:p>
    <w:p w:rsidR="00000000" w:rsidRPr="00DF722C" w:rsidP="00DF722C">
      <w:pPr>
        <w:pStyle w:val="Heading1"/>
      </w:pPr>
      <w:bookmarkStart w:id="3" w:name="O_1053097"/>
      <w:bookmarkEnd w:id="3"/>
      <w:r w:rsidRPr="00DF722C">
        <w:t>Pre-requisite Unit</w:t>
      </w:r>
    </w:p>
    <w:p w:rsidR="00000000" w:rsidRPr="00DF722C" w:rsidP="00C3687D">
      <w:pPr>
        <w:pStyle w:val="BodyText"/>
      </w:pPr>
      <w:r w:rsidRPr="00DF722C">
        <w:t>None.</w:t>
      </w:r>
    </w:p>
    <w:p w:rsidR="00000000" w:rsidRPr="00DF722C" w:rsidP="00DF722C">
      <w:pPr>
        <w:pStyle w:val="Heading1"/>
      </w:pPr>
      <w:bookmarkStart w:id="4" w:name="O_1053096"/>
      <w:bookmarkEnd w:id="4"/>
      <w:r w:rsidRPr="00DF722C">
        <w:t>Uni</w:t>
      </w:r>
      <w:r w:rsidRPr="00DF722C">
        <w:t>t Sector</w:t>
      </w:r>
    </w:p>
    <w:p w:rsidR="00000000" w:rsidRPr="00DF722C" w:rsidP="00C3687D">
      <w:pPr>
        <w:pStyle w:val="BodyText"/>
      </w:pPr>
      <w:r w:rsidRPr="00DF722C">
        <w:t>Technical</w:t>
      </w:r>
    </w:p>
    <w:p w:rsidR="00000000" w:rsidRPr="00DF722C" w:rsidP="00DF722C">
      <w:pPr>
        <w:pStyle w:val="Heading1"/>
      </w:pPr>
      <w:bookmarkStart w:id="5" w:name="O_1053095"/>
      <w:bookmarkEnd w:id="5"/>
      <w:r w:rsidRPr="00DF722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Performance criteria describe what needs to be done to demonstrate achievement of the element.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 xml:space="preserve">Prepare to commission </w:t>
            </w:r>
            <w:r w:rsidRPr="00DF722C">
              <w:t>and decommission security equipment and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 xml:space="preserve">Review work instructions to confirm client and site </w:t>
            </w:r>
            <w:r w:rsidRPr="00DF722C">
              <w:t>requirements and work timeframes.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Review AS/NZS 2201 to understand regulatory requirements associated with commissioning an</w:t>
            </w:r>
            <w:r w:rsidRPr="00DF722C">
              <w:t>d decommissioning security equipment and systems and apply to work instructions.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Confirm types of security equipment and system to be commissioned and decommissioned and source information to clarify procedures.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Review and follow workplace policies and procedures including work health and safety when carrying out work tasks.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Plan and organise work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Plan and prioritise work tasks allowing sufficient time to meet work instructions.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Select and organise required materials, tools and equipment including personal protective equipment and check for safe and correct operation.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Arrange access to security equipment and systems for commissioning and decommissioning in consultation with</w:t>
            </w:r>
            <w:r w:rsidRPr="00DF722C">
              <w:t xml:space="preserve"> relevant persons.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Identify hazards in the work area and apply risk control measures.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Use safe work practices when working with electronic equipment and cables according to WHS requirements.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Commission security equipment and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Access security equipment and system and confirm equipment interconnections and parameters.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Customise security equipment and system to meet work instructions.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 xml:space="preserve">Set non-software configurations and confirm software is installed and hardware </w:t>
            </w:r>
            <w:r w:rsidRPr="00DF722C">
              <w:t>data loaded.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Conduct performance tests and confirm security equipment and system operation meets prescribed parameters and specifications.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 xml:space="preserve">Identify and document malfunctions or deviations from </w:t>
            </w:r>
            <w:r w:rsidRPr="00DF722C">
              <w:t>recommended specifications.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Conduct hand-over of commissioned security equipment and system.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Decommission security equipment and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Confirm security system and equipment for decommissioning.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Isolate existing services in consultation with relevant persons.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Safely terminate sources of energy according to manufacturers’ instructions and WHS requirements.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Remove security equipment and system components in consultation with relevant persons.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Finalise commissioning and decommissioning activities and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Complete documentation detailing commissioning and decommissioning results according to workplace and regulatory requirements.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Notify work completion to relevant persons.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Check tools and equipment for faults, wear or damage and rectify or report problems.</w:t>
            </w:r>
          </w:p>
        </w:tc>
      </w:tr>
      <w:tr w:rsidTr="00DF72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22C">
            <w:pPr>
              <w:pStyle w:val="BodyText"/>
              <w:rPr>
                <w:lang w:val="en-NZ"/>
              </w:rPr>
            </w:pPr>
            <w:r w:rsidRPr="00DF722C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22C" w:rsidP="00DF722C">
            <w:pPr>
              <w:pStyle w:val="BodyText"/>
            </w:pPr>
            <w:r w:rsidRPr="00DF722C">
              <w:t xml:space="preserve">Clean and restore work area, remove waste caused by work tasks and dispose of decommissioned security equipment and system according to workplace </w:t>
            </w:r>
            <w:r w:rsidRPr="00DF722C">
              <w:t>requirements.</w:t>
            </w:r>
          </w:p>
        </w:tc>
      </w:tr>
    </w:tbl>
    <w:p w:rsidR="00000000" w:rsidRPr="00DF722C" w:rsidP="00DF722C">
      <w:pPr>
        <w:pStyle w:val="BodyText"/>
      </w:pPr>
    </w:p>
    <w:p w:rsidR="00000000" w:rsidRPr="00DF722C" w:rsidP="00DF722C">
      <w:pPr>
        <w:pStyle w:val="AllowPageBreak"/>
      </w:pPr>
    </w:p>
    <w:p w:rsidR="00000000" w:rsidRPr="00DF722C" w:rsidP="00DF722C">
      <w:pPr>
        <w:pStyle w:val="Heading1"/>
      </w:pPr>
      <w:bookmarkStart w:id="6" w:name="O_1053094"/>
      <w:bookmarkEnd w:id="6"/>
      <w:r w:rsidRPr="00DF722C">
        <w:t>Foundation Skills</w:t>
      </w:r>
    </w:p>
    <w:p w:rsidR="00000000" w:rsidRPr="00DF722C" w:rsidP="00C3687D">
      <w:pPr>
        <w:pStyle w:val="BodyText"/>
      </w:pPr>
      <w:r w:rsidRPr="00DF722C">
        <w:t>As well as the foundation skills explicit in the performance criteria of this unit, candidates require:</w:t>
      </w:r>
    </w:p>
    <w:p w:rsidR="00000000" w:rsidRPr="00DF722C" w:rsidP="00DF722C">
      <w:pPr>
        <w:pStyle w:val="ListBullet"/>
      </w:pPr>
      <w:r w:rsidRPr="00DF722C">
        <w:t>reading skills to interpret key requirements of:</w:t>
      </w:r>
    </w:p>
    <w:p w:rsidR="00000000" w:rsidRPr="00DF722C" w:rsidP="00DF722C">
      <w:pPr>
        <w:pStyle w:val="ListBullet2"/>
      </w:pPr>
      <w:r w:rsidRPr="00DF722C">
        <w:t xml:space="preserve">plans and specifications when locating security </w:t>
      </w:r>
      <w:r w:rsidRPr="00DF722C">
        <w:t>equipment and systems for commissioning and decommissioning</w:t>
      </w:r>
    </w:p>
    <w:p w:rsidR="00000000" w:rsidRPr="00DF722C" w:rsidP="00DF722C">
      <w:pPr>
        <w:pStyle w:val="ListBullet2"/>
      </w:pPr>
      <w:r w:rsidRPr="00DF722C">
        <w:t>Australian standards and manufacturers’ instructions</w:t>
      </w:r>
    </w:p>
    <w:p w:rsidR="00000000" w:rsidRPr="00DF722C" w:rsidP="00DF722C">
      <w:pPr>
        <w:pStyle w:val="ListBullet"/>
      </w:pPr>
      <w:r w:rsidRPr="00DF722C">
        <w:t>numeracy skills to interpret multimeter readings when testing commissioned security equipment and systems.</w:t>
      </w:r>
    </w:p>
    <w:p w:rsidR="00000000" w:rsidRPr="00DF722C" w:rsidP="00DF722C">
      <w:pPr>
        <w:pStyle w:val="AllowPageBreak"/>
      </w:pPr>
    </w:p>
    <w:p w:rsidR="00000000" w:rsidRPr="00DF722C" w:rsidP="00DF722C">
      <w:pPr>
        <w:pStyle w:val="Heading1"/>
      </w:pPr>
      <w:bookmarkStart w:id="7" w:name="O_1053093"/>
      <w:bookmarkEnd w:id="7"/>
      <w:r w:rsidRPr="00DF722C">
        <w:t>Unit Mapping Information</w:t>
      </w:r>
    </w:p>
    <w:p w:rsidR="00000000" w:rsidRPr="00DF722C" w:rsidP="00C3687D">
      <w:pPr>
        <w:pStyle w:val="BodyText"/>
      </w:pPr>
      <w:r w:rsidRPr="00DF722C">
        <w:t>Supersedes and equivalent to CPPSEC3038A Commission and decommission security equipment and system.</w:t>
      </w:r>
    </w:p>
    <w:p w:rsidR="00000000" w:rsidRPr="00DF722C" w:rsidP="00DF722C">
      <w:pPr>
        <w:pStyle w:val="Heading1"/>
      </w:pPr>
      <w:bookmarkStart w:id="8" w:name="O_1053086"/>
      <w:bookmarkEnd w:id="8"/>
      <w:r w:rsidRPr="00DF722C">
        <w:t>Links</w:t>
      </w:r>
    </w:p>
    <w:p w:rsidR="00000000" w:rsidRPr="00DF722C" w:rsidP="00C3687D">
      <w:pPr>
        <w:pStyle w:val="BodyText"/>
      </w:pPr>
      <w:r w:rsidRPr="00DF722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5555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F722C" w:rsidP="00DF722C"/>
    <w:sectPr w:rsidSect="00DF72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2C" w:rsidRPr="00C3687D" w:rsidP="00C36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87D" w:rsidP="00DF72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87D" w:rsidP="00DF72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3687D" w:rsidP="00DF72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8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22C" w:rsidRPr="00C3687D" w:rsidP="00C368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87D" w:rsidRPr="002D2AF8" w:rsidP="00DF72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CPPSEC3038 Commission and decommission security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3687D" w:rsidP="00DF72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5065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5C6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E8B9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2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2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2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2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2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2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2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2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2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2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2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22C"/>
  </w:style>
  <w:style w:type="character" w:customStyle="1" w:styleId="Heading1Char">
    <w:name w:val="Heading 1 Char"/>
    <w:basedOn w:val="DefaultParagraphFont"/>
    <w:link w:val="Heading1"/>
    <w:rsid w:val="00DF72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2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2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2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72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722C"/>
    <w:rPr>
      <w:i/>
    </w:rPr>
  </w:style>
  <w:style w:type="paragraph" w:customStyle="1" w:styleId="SuperHeading">
    <w:name w:val="SuperHeading"/>
    <w:basedOn w:val="Normal"/>
    <w:rsid w:val="00DF72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2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72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2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2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2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2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2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2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2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2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2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2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2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2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2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2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2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722C"/>
    <w:rPr>
      <w:b/>
      <w:spacing w:val="0"/>
    </w:rPr>
  </w:style>
  <w:style w:type="paragraph" w:customStyle="1" w:styleId="SuperTitle">
    <w:name w:val="SuperTitle"/>
    <w:basedOn w:val="Title"/>
    <w:rsid w:val="00DF72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2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2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72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2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2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2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2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2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2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2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2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72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2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2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22C"/>
  </w:style>
  <w:style w:type="paragraph" w:styleId="TableofFigures">
    <w:name w:val="table of figures"/>
    <w:basedOn w:val="Normal"/>
    <w:next w:val="Normal"/>
    <w:semiHidden/>
    <w:rsid w:val="00DF72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2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722C"/>
    <w:rPr>
      <w:rFonts w:ascii="Wingdings" w:hAnsi="Wingdings"/>
    </w:rPr>
  </w:style>
  <w:style w:type="paragraph" w:customStyle="1" w:styleId="TableHeading">
    <w:name w:val="Table Heading"/>
    <w:basedOn w:val="HeadingBase"/>
    <w:rsid w:val="00DF72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22C"/>
    <w:rPr>
      <w:color w:val="0033CC"/>
      <w:u w:val="none"/>
    </w:rPr>
  </w:style>
  <w:style w:type="paragraph" w:customStyle="1" w:styleId="BodyTextRight">
    <w:name w:val="Body Text Right"/>
    <w:basedOn w:val="BodyText"/>
    <w:rsid w:val="00DF72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2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2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2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2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2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22C"/>
    <w:rPr>
      <w:sz w:val="32"/>
    </w:rPr>
  </w:style>
  <w:style w:type="paragraph" w:customStyle="1" w:styleId="HeadingProcedure">
    <w:name w:val="Heading Procedure"/>
    <w:basedOn w:val="HeadingBase"/>
    <w:next w:val="Normal"/>
    <w:rsid w:val="00DF72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22C"/>
    <w:pPr>
      <w:spacing w:before="60" w:after="60"/>
    </w:pPr>
  </w:style>
  <w:style w:type="paragraph" w:styleId="ListContinue">
    <w:name w:val="List Continue"/>
    <w:basedOn w:val="List"/>
    <w:rsid w:val="00DF722C"/>
    <w:pPr>
      <w:ind w:firstLine="0"/>
    </w:pPr>
  </w:style>
  <w:style w:type="paragraph" w:customStyle="1" w:styleId="ListNote">
    <w:name w:val="List Note"/>
    <w:basedOn w:val="List"/>
    <w:rsid w:val="00DF72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2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2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22C"/>
    <w:rPr>
      <w:rFonts w:ascii="Courier New" w:hAnsi="Courier New"/>
    </w:rPr>
  </w:style>
  <w:style w:type="paragraph" w:customStyle="1" w:styleId="NoteBullet">
    <w:name w:val="Note Bullet"/>
    <w:basedOn w:val="Note"/>
    <w:rsid w:val="00DF72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2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2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2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2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72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2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22C"/>
    <w:rPr>
      <w:b/>
      <w:smallCaps/>
    </w:rPr>
  </w:style>
  <w:style w:type="paragraph" w:customStyle="1" w:styleId="TableListNumber">
    <w:name w:val="Table List Number"/>
    <w:basedOn w:val="ListNumber"/>
    <w:rsid w:val="00DF72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2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22C"/>
    <w:pPr>
      <w:numPr>
        <w:numId w:val="9"/>
      </w:numPr>
    </w:pPr>
  </w:style>
  <w:style w:type="paragraph" w:customStyle="1" w:styleId="ListAlpha2">
    <w:name w:val="List Alpha 2"/>
    <w:basedOn w:val="List2"/>
    <w:rsid w:val="00DF722C"/>
    <w:pPr>
      <w:numPr>
        <w:numId w:val="8"/>
      </w:numPr>
    </w:pPr>
  </w:style>
  <w:style w:type="paragraph" w:styleId="List2">
    <w:name w:val="List 2"/>
    <w:basedOn w:val="BodyText"/>
    <w:rsid w:val="00DF72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2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2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2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2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2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722C"/>
    <w:pPr>
      <w:numPr>
        <w:numId w:val="4"/>
      </w:numPr>
    </w:pPr>
  </w:style>
  <w:style w:type="paragraph" w:styleId="ListContinue2">
    <w:name w:val="List Continue 2"/>
    <w:basedOn w:val="List2"/>
    <w:rsid w:val="00DF722C"/>
    <w:pPr>
      <w:ind w:firstLine="0"/>
    </w:pPr>
  </w:style>
  <w:style w:type="paragraph" w:styleId="ListContinue3">
    <w:name w:val="List Continue 3"/>
    <w:basedOn w:val="List3"/>
    <w:rsid w:val="00DF722C"/>
    <w:pPr>
      <w:ind w:left="1021" w:firstLine="0"/>
    </w:pPr>
  </w:style>
  <w:style w:type="paragraph" w:styleId="ListContinue4">
    <w:name w:val="List Continue 4"/>
    <w:basedOn w:val="List4"/>
    <w:rsid w:val="00DF722C"/>
    <w:pPr>
      <w:ind w:firstLine="0"/>
    </w:pPr>
  </w:style>
  <w:style w:type="paragraph" w:styleId="ListContinue5">
    <w:name w:val="List Continue 5"/>
    <w:basedOn w:val="List5"/>
    <w:rsid w:val="00DF722C"/>
    <w:pPr>
      <w:ind w:firstLine="0"/>
    </w:pPr>
  </w:style>
  <w:style w:type="paragraph" w:styleId="ListNumber3">
    <w:name w:val="List Number 3"/>
    <w:basedOn w:val="List3"/>
    <w:rsid w:val="00DF722C"/>
    <w:pPr>
      <w:numPr>
        <w:numId w:val="5"/>
      </w:numPr>
    </w:pPr>
  </w:style>
  <w:style w:type="paragraph" w:styleId="ListNumber4">
    <w:name w:val="List Number 4"/>
    <w:basedOn w:val="List4"/>
    <w:rsid w:val="00DF722C"/>
    <w:pPr>
      <w:numPr>
        <w:numId w:val="6"/>
      </w:numPr>
    </w:pPr>
  </w:style>
  <w:style w:type="paragraph" w:styleId="ListNumber5">
    <w:name w:val="List Number 5"/>
    <w:basedOn w:val="List5"/>
    <w:rsid w:val="00DF722C"/>
    <w:pPr>
      <w:numPr>
        <w:numId w:val="7"/>
      </w:numPr>
    </w:pPr>
  </w:style>
  <w:style w:type="paragraph" w:styleId="BlockText">
    <w:name w:val="Block Text"/>
    <w:basedOn w:val="Normal"/>
    <w:rsid w:val="00DF72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2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22C"/>
    <w:rPr>
      <w:sz w:val="16"/>
      <w:vertAlign w:val="superscript"/>
    </w:rPr>
  </w:style>
  <w:style w:type="character" w:customStyle="1" w:styleId="Symbols">
    <w:name w:val="Symbols"/>
    <w:basedOn w:val="DefaultParagraphFont"/>
    <w:rsid w:val="00DF722C"/>
    <w:rPr>
      <w:rFonts w:ascii="Symbol" w:hAnsi="Symbol"/>
    </w:rPr>
  </w:style>
  <w:style w:type="character" w:customStyle="1" w:styleId="MenuOptions">
    <w:name w:val="Menu Options"/>
    <w:basedOn w:val="DefaultParagraphFont"/>
    <w:rsid w:val="00DF72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22C"/>
    <w:rPr>
      <w:b/>
    </w:rPr>
  </w:style>
  <w:style w:type="character" w:customStyle="1" w:styleId="Underlined">
    <w:name w:val="Underlined"/>
    <w:basedOn w:val="DefaultParagraphFont"/>
    <w:rsid w:val="00DF722C"/>
    <w:rPr>
      <w:u w:val="single"/>
    </w:rPr>
  </w:style>
  <w:style w:type="paragraph" w:customStyle="1" w:styleId="TableBodyTextRight">
    <w:name w:val="Table Body Text Right"/>
    <w:basedOn w:val="TableBodyText"/>
    <w:rsid w:val="00DF72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22C"/>
    <w:rPr>
      <w:sz w:val="18"/>
    </w:rPr>
  </w:style>
  <w:style w:type="paragraph" w:customStyle="1" w:styleId="BodySmallRight">
    <w:name w:val="Body Small Right"/>
    <w:basedOn w:val="BodyTextRight"/>
    <w:rsid w:val="00DF722C"/>
    <w:rPr>
      <w:sz w:val="18"/>
      <w:szCs w:val="18"/>
    </w:rPr>
  </w:style>
  <w:style w:type="paragraph" w:customStyle="1" w:styleId="MarginEdition">
    <w:name w:val="Margin Edition"/>
    <w:basedOn w:val="MarginNote"/>
    <w:rsid w:val="00DF72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22C"/>
    <w:rPr>
      <w:sz w:val="2"/>
      <w:szCs w:val="2"/>
    </w:rPr>
  </w:style>
  <w:style w:type="character" w:customStyle="1" w:styleId="Small">
    <w:name w:val="Small"/>
    <w:basedOn w:val="DefaultParagraphFont"/>
    <w:rsid w:val="00DF722C"/>
    <w:rPr>
      <w:sz w:val="16"/>
    </w:rPr>
  </w:style>
  <w:style w:type="paragraph" w:customStyle="1" w:styleId="WideTable">
    <w:name w:val="Wide Table"/>
    <w:basedOn w:val="Normal"/>
    <w:rsid w:val="00DF72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22C"/>
  </w:style>
  <w:style w:type="paragraph" w:styleId="Quote">
    <w:name w:val="Quote"/>
    <w:basedOn w:val="Heading1"/>
    <w:link w:val="QuoteChar"/>
    <w:qFormat/>
    <w:rsid w:val="00DF72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2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22C"/>
    <w:pPr>
      <w:pageBreakBefore/>
    </w:pPr>
  </w:style>
  <w:style w:type="paragraph" w:customStyle="1" w:styleId="Border">
    <w:name w:val="Border"/>
    <w:basedOn w:val="Normal"/>
    <w:qFormat/>
    <w:rsid w:val="00DF72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2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2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2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2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2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2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2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2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22C"/>
    <w:rPr>
      <w:u w:val="single"/>
    </w:rPr>
  </w:style>
  <w:style w:type="character" w:customStyle="1" w:styleId="BoldandItalics">
    <w:name w:val="Bold and Italics"/>
    <w:qFormat/>
    <w:rsid w:val="00DF722C"/>
    <w:rPr>
      <w:b/>
      <w:i/>
      <w:u w:val="none"/>
    </w:rPr>
  </w:style>
  <w:style w:type="paragraph" w:styleId="BalloonText">
    <w:name w:val="Balloon Text"/>
    <w:basedOn w:val="Normal"/>
    <w:link w:val="BalloonTextChar"/>
    <w:rsid w:val="00DF72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2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2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2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2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2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22C"/>
    <w:pPr>
      <w:spacing w:before="0" w:after="0"/>
    </w:pPr>
  </w:style>
  <w:style w:type="paragraph" w:customStyle="1" w:styleId="BodyTextBold">
    <w:name w:val="Body Text Bold"/>
    <w:basedOn w:val="BodyText"/>
    <w:qFormat/>
    <w:rsid w:val="00DF722C"/>
    <w:rPr>
      <w:b/>
    </w:rPr>
  </w:style>
  <w:style w:type="character" w:styleId="Hyperlink">
    <w:name w:val="Hyperlink"/>
    <w:basedOn w:val="DefaultParagraphFont"/>
    <w:uiPriority w:val="99"/>
    <w:unhideWhenUsed/>
    <w:rsid w:val="00C36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4606</Characters>
  <Application>Microsoft Office Word</Application>
  <DocSecurity>0</DocSecurity>
  <Lines>209</Lines>
  <Paragraphs>99</Paragraphs>
  <ScaleCrop>false</ScaleCrop>
  <Company>Author-it Software Corporation Ltd.</Company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CPPSEC3038 Commission and decommission security equipment and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2023-02-03T06:26:00Z</dcterms:created>
  <dcterms:modified xsi:type="dcterms:W3CDTF">2023-02-03T06:26:00Z</dcterms:modified>
</cp:coreProperties>
</file>