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320C" w:rsidP="00D232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CPPSEC3038 Commission and decommission security equipment and systems</w:t>
      </w:r>
      <w:r>
        <w:fldChar w:fldCharType="end"/>
      </w:r>
    </w:p>
    <w:p w:rsidR="00D2320C" w:rsidP="00D2320C">
      <w:pPr>
        <w:pStyle w:val="Version"/>
        <w:sectPr w:rsidSect="00742E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2E82" w:rsidP="00742E82">
      <w:pPr>
        <w:pStyle w:val="SuperHeading"/>
      </w:pPr>
      <w:r w:rsidRPr="00742E82">
        <w:t>Assessment Requirements for CPPSEC3038 Commission and decommission security equipment and systems</w:t>
      </w:r>
    </w:p>
    <w:p w:rsidR="00000000" w:rsidRPr="00742E82" w:rsidP="00742E82">
      <w:pPr>
        <w:pStyle w:val="Heading1"/>
      </w:pPr>
      <w:bookmarkStart w:id="1" w:name="O_1053088"/>
      <w:bookmarkEnd w:id="1"/>
      <w:r w:rsidRPr="00742E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42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82">
            <w:pPr>
              <w:pStyle w:val="BodyText"/>
              <w:rPr>
                <w:lang w:val="en-NZ"/>
              </w:rPr>
            </w:pPr>
            <w:r w:rsidRPr="00742E8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E82" w:rsidP="00742E82">
            <w:pPr>
              <w:pStyle w:val="BodyText"/>
            </w:pPr>
            <w:r w:rsidRPr="00742E82">
              <w:t>This version first released with CPP Property Services Training Package Release 9.0.</w:t>
            </w:r>
          </w:p>
          <w:p w:rsidR="00000000" w:rsidRPr="00742E82" w:rsidP="00742E82">
            <w:pPr>
              <w:pStyle w:val="BodyText"/>
            </w:pPr>
            <w:r w:rsidRPr="00742E82">
              <w:t>Supersedes and is equivalent to CPPSEC3038A Commission and decommission security equipment and system. Updated to meet the Standards for Training Packages.</w:t>
            </w:r>
          </w:p>
        </w:tc>
      </w:tr>
    </w:tbl>
    <w:p w:rsidR="00000000" w:rsidRPr="00742E82" w:rsidP="00742E82">
      <w:pPr>
        <w:pStyle w:val="BodyText"/>
      </w:pPr>
    </w:p>
    <w:p w:rsidR="00000000" w:rsidRPr="00742E82" w:rsidP="00742E82">
      <w:pPr>
        <w:pStyle w:val="AllowPageBreak"/>
      </w:pPr>
    </w:p>
    <w:p w:rsidR="00000000" w:rsidRPr="00742E82" w:rsidP="00742E82">
      <w:pPr>
        <w:pStyle w:val="Heading1"/>
      </w:pPr>
      <w:bookmarkStart w:id="2" w:name="O_1053091"/>
      <w:bookmarkEnd w:id="2"/>
      <w:r w:rsidRPr="00742E82">
        <w:t>Performance Evidence</w:t>
      </w:r>
    </w:p>
    <w:p w:rsidR="00000000" w:rsidRPr="00742E82" w:rsidP="00D2320C">
      <w:pPr>
        <w:pStyle w:val="BodyText"/>
      </w:pPr>
      <w:r w:rsidRPr="00742E82">
        <w:t>To demonstrate competency, a candidate must meet the perfo</w:t>
      </w:r>
      <w:r w:rsidRPr="00742E82">
        <w:t>rmance criteria of this unit by:</w:t>
      </w:r>
    </w:p>
    <w:p w:rsidR="00000000" w:rsidRPr="00742E82" w:rsidP="00742E82">
      <w:pPr>
        <w:pStyle w:val="ListBullet"/>
      </w:pPr>
      <w:r w:rsidRPr="00742E82">
        <w:t>commissioning two different types of security equipment and systems</w:t>
      </w:r>
    </w:p>
    <w:p w:rsidR="00000000" w:rsidRPr="00742E82" w:rsidP="00742E82">
      <w:pPr>
        <w:pStyle w:val="ListBullet"/>
      </w:pPr>
      <w:r w:rsidRPr="00742E82">
        <w:t>decommissioning two different types of security equipment and systems.</w:t>
      </w:r>
    </w:p>
    <w:p w:rsidR="00000000" w:rsidRPr="00742E82" w:rsidP="00742E82">
      <w:pPr>
        <w:pStyle w:val="AllowPageBreak"/>
      </w:pPr>
    </w:p>
    <w:p w:rsidR="00000000" w:rsidRPr="00742E82" w:rsidP="00742E82">
      <w:pPr>
        <w:pStyle w:val="Heading1"/>
      </w:pPr>
      <w:bookmarkStart w:id="3" w:name="O_1053090"/>
      <w:bookmarkEnd w:id="3"/>
      <w:r w:rsidRPr="00742E82">
        <w:t>Knowledge Evidence</w:t>
      </w:r>
    </w:p>
    <w:p w:rsidR="00000000" w:rsidRPr="00742E82" w:rsidP="00D2320C">
      <w:pPr>
        <w:pStyle w:val="BodyText"/>
      </w:pPr>
      <w:r w:rsidRPr="00742E82">
        <w:t>To be competent in this unit, a candidate mus</w:t>
      </w:r>
      <w:r w:rsidRPr="00742E82">
        <w:t>t demonstrate knowledge of:</w:t>
      </w:r>
    </w:p>
    <w:p w:rsidR="00000000" w:rsidRPr="00742E82" w:rsidP="00742E82">
      <w:pPr>
        <w:pStyle w:val="ListBullet"/>
      </w:pPr>
      <w:r w:rsidRPr="00742E82">
        <w:t>workplace policies and procedures that ensure compliance with legislative and regulatory requirements when commissioning and decommissioning security equipment and systems:</w:t>
      </w:r>
    </w:p>
    <w:p w:rsidR="00000000" w:rsidRPr="00742E82" w:rsidP="00742E82">
      <w:pPr>
        <w:pStyle w:val="ListBullet2"/>
      </w:pPr>
      <w:r w:rsidRPr="00742E82">
        <w:t>licensing requirements and limits of own authority</w:t>
      </w:r>
    </w:p>
    <w:p w:rsidR="00000000" w:rsidRPr="00742E82" w:rsidP="00742E82">
      <w:pPr>
        <w:pStyle w:val="ListBullet2"/>
      </w:pPr>
      <w:r w:rsidRPr="00742E82">
        <w:t>privacy requirements</w:t>
      </w:r>
    </w:p>
    <w:p w:rsidR="00000000" w:rsidRPr="00742E82" w:rsidP="00742E82">
      <w:pPr>
        <w:pStyle w:val="ListBullet2"/>
      </w:pPr>
      <w:r w:rsidRPr="00742E82">
        <w:t>reporting and documentation</w:t>
      </w:r>
    </w:p>
    <w:p w:rsidR="00000000" w:rsidRPr="00742E82" w:rsidP="00742E82">
      <w:pPr>
        <w:pStyle w:val="ListBullet2"/>
      </w:pPr>
      <w:r w:rsidRPr="00742E82">
        <w:t>requirements for complying with Australian Communications and Media Authority cabling rules</w:t>
      </w:r>
    </w:p>
    <w:p w:rsidR="00000000" w:rsidRPr="00742E82" w:rsidP="00742E82">
      <w:pPr>
        <w:pStyle w:val="ListBullet2"/>
      </w:pPr>
      <w:r w:rsidRPr="00742E82">
        <w:t>work health and safety</w:t>
      </w:r>
    </w:p>
    <w:p w:rsidR="00000000" w:rsidRPr="00742E82" w:rsidP="00742E82">
      <w:pPr>
        <w:pStyle w:val="ListBullet"/>
      </w:pPr>
      <w:r w:rsidRPr="00742E82">
        <w:t xml:space="preserve">application of </w:t>
      </w:r>
      <w:r w:rsidRPr="00742E82">
        <w:rPr>
          <w:rStyle w:val="Emphasis"/>
        </w:rPr>
        <w:t>AS/NZS 2201.1:2007 Intruder alarm systems – Client’s premises – Design, inst</w:t>
      </w:r>
      <w:r w:rsidRPr="00742E82">
        <w:rPr>
          <w:rStyle w:val="Emphasis"/>
        </w:rPr>
        <w:t>allation, commissioning and maintenance</w:t>
      </w:r>
      <w:r w:rsidRPr="00742E82">
        <w:t xml:space="preserve"> (AS/NZS 2201) when commissioning and decommissioning security equipment and systems installed at client premises</w:t>
      </w:r>
    </w:p>
    <w:p w:rsidR="00000000" w:rsidRPr="00742E82" w:rsidP="00742E82">
      <w:pPr>
        <w:pStyle w:val="ListBullet"/>
      </w:pPr>
      <w:r w:rsidRPr="00742E82">
        <w:t>basic carpentry techniques used when commissioning and decommissioning security equipment and systems</w:t>
      </w:r>
    </w:p>
    <w:p w:rsidR="00000000" w:rsidRPr="00742E82" w:rsidP="00742E82">
      <w:pPr>
        <w:pStyle w:val="ListBullet"/>
      </w:pPr>
      <w:r w:rsidRPr="00742E82">
        <w:t>c</w:t>
      </w:r>
      <w:r w:rsidRPr="00742E82">
        <w:t>able identification methods and techniques</w:t>
      </w:r>
    </w:p>
    <w:p w:rsidR="00000000" w:rsidRPr="00742E82" w:rsidP="00742E82">
      <w:pPr>
        <w:pStyle w:val="ListBullet"/>
      </w:pPr>
      <w:r w:rsidRPr="00742E82">
        <w:t>documentation to be completed when commissioning and decommissioning security equipment and systems</w:t>
      </w:r>
    </w:p>
    <w:p w:rsidR="00000000" w:rsidRPr="00742E82" w:rsidP="00742E82">
      <w:pPr>
        <w:pStyle w:val="ListBullet"/>
      </w:pPr>
      <w:r w:rsidRPr="00742E82">
        <w:t>keypad and control panel types and functions for a range of security equipment and systems</w:t>
      </w:r>
    </w:p>
    <w:p w:rsidR="00000000" w:rsidRPr="00742E82" w:rsidP="00742E82">
      <w:pPr>
        <w:pStyle w:val="ListBullet"/>
      </w:pPr>
      <w:r w:rsidRPr="00742E82">
        <w:t>materials, tools and e</w:t>
      </w:r>
      <w:r w:rsidRPr="00742E82">
        <w:t>quipment including personal protective equipment (PPE) used when commissioning and decommissioning security equipment and systems</w:t>
      </w:r>
    </w:p>
    <w:p w:rsidR="00000000" w:rsidRPr="00742E82" w:rsidP="00742E82">
      <w:pPr>
        <w:pStyle w:val="ListBullet"/>
      </w:pPr>
      <w:r w:rsidRPr="00742E82">
        <w:t>methods for ensuring IP networked systems and equipment are properly secured</w:t>
      </w:r>
    </w:p>
    <w:p w:rsidR="00000000" w:rsidRPr="00742E82" w:rsidP="00742E82">
      <w:pPr>
        <w:pStyle w:val="ListBullet"/>
      </w:pPr>
      <w:r w:rsidRPr="00742E82">
        <w:t>methods for installing software, setting non-soft</w:t>
      </w:r>
      <w:r w:rsidRPr="00742E82">
        <w:t>ware configurations and confirming hardware data is loaded when commissioning security equipment and systems</w:t>
      </w:r>
    </w:p>
    <w:p w:rsidR="00000000" w:rsidRPr="00742E82" w:rsidP="00742E82">
      <w:pPr>
        <w:pStyle w:val="ListBullet"/>
      </w:pPr>
      <w:r w:rsidRPr="00742E82">
        <w:t>procedures for isolating existing services</w:t>
      </w:r>
    </w:p>
    <w:p w:rsidR="00000000" w:rsidRPr="00742E82" w:rsidP="00742E82">
      <w:pPr>
        <w:pStyle w:val="ListBullet"/>
      </w:pPr>
      <w:r w:rsidRPr="00742E82">
        <w:t>procedures for safely terminating sources of energy when decommissioning security equipment and systems</w:t>
      </w:r>
    </w:p>
    <w:p w:rsidR="00000000" w:rsidRPr="00742E82" w:rsidP="00742E82">
      <w:pPr>
        <w:pStyle w:val="ListBullet"/>
      </w:pPr>
      <w:r w:rsidRPr="00742E82">
        <w:t>soldering and drilling techniques used when commissioning and decommissioning security equipment and systems</w:t>
      </w:r>
    </w:p>
    <w:p w:rsidR="00000000" w:rsidRPr="00742E82" w:rsidP="00742E82">
      <w:pPr>
        <w:pStyle w:val="ListBullet"/>
      </w:pPr>
      <w:r w:rsidRPr="00742E82">
        <w:t>testing procedures for commissioning a range of security equipment and systems:</w:t>
      </w:r>
    </w:p>
    <w:p w:rsidR="00000000" w:rsidRPr="00742E82" w:rsidP="00742E82">
      <w:pPr>
        <w:pStyle w:val="ListBullet2"/>
      </w:pPr>
      <w:r w:rsidRPr="00742E82">
        <w:t>access control systems</w:t>
      </w:r>
    </w:p>
    <w:p w:rsidR="00000000" w:rsidRPr="00742E82" w:rsidP="00742E82">
      <w:pPr>
        <w:pStyle w:val="ListBullet2"/>
      </w:pPr>
      <w:r w:rsidRPr="00742E82">
        <w:t>audible and visual warning devices</w:t>
      </w:r>
    </w:p>
    <w:p w:rsidR="00000000" w:rsidRPr="00742E82" w:rsidP="00742E82">
      <w:pPr>
        <w:pStyle w:val="ListBullet2"/>
      </w:pPr>
      <w:r w:rsidRPr="00742E82">
        <w:t xml:space="preserve">cameras </w:t>
      </w:r>
      <w:r w:rsidRPr="00742E82">
        <w:t>and monitors</w:t>
      </w:r>
    </w:p>
    <w:p w:rsidR="00000000" w:rsidRPr="00742E82" w:rsidP="00742E82">
      <w:pPr>
        <w:pStyle w:val="ListBullet2"/>
      </w:pPr>
      <w:r w:rsidRPr="00742E82">
        <w:t>commercial and residential alarm systems</w:t>
      </w:r>
    </w:p>
    <w:p w:rsidR="00000000" w:rsidRPr="00742E82" w:rsidP="00742E82">
      <w:pPr>
        <w:pStyle w:val="ListBullet2"/>
      </w:pPr>
      <w:r w:rsidRPr="00742E82">
        <w:t>detection devices</w:t>
      </w:r>
    </w:p>
    <w:p w:rsidR="00000000" w:rsidRPr="00742E82" w:rsidP="00742E82">
      <w:pPr>
        <w:pStyle w:val="ListBullet2"/>
      </w:pPr>
      <w:r w:rsidRPr="00742E82">
        <w:t>electronic and mechanical fire safety and fire locking systems</w:t>
      </w:r>
    </w:p>
    <w:p w:rsidR="00000000" w:rsidRPr="00742E82" w:rsidP="00742E82">
      <w:pPr>
        <w:pStyle w:val="ListBullet2"/>
      </w:pPr>
      <w:r w:rsidRPr="00742E82">
        <w:t>electronic locks and locking systems</w:t>
      </w:r>
    </w:p>
    <w:p w:rsidR="00000000" w:rsidRPr="00742E82" w:rsidP="00742E82">
      <w:pPr>
        <w:pStyle w:val="ListBullet2"/>
      </w:pPr>
      <w:r w:rsidRPr="00742E82">
        <w:t>electronic readers</w:t>
      </w:r>
    </w:p>
    <w:p w:rsidR="00000000" w:rsidRPr="00742E82" w:rsidP="00742E82">
      <w:pPr>
        <w:pStyle w:val="ListBullet2"/>
      </w:pPr>
      <w:r w:rsidRPr="00742E82">
        <w:t>electronic screen equipment</w:t>
      </w:r>
    </w:p>
    <w:p w:rsidR="00000000" w:rsidRPr="00742E82" w:rsidP="00742E82">
      <w:pPr>
        <w:pStyle w:val="ListBullet2"/>
      </w:pPr>
      <w:r w:rsidRPr="00742E82">
        <w:t>intercoms and control panels</w:t>
      </w:r>
    </w:p>
    <w:p w:rsidR="00000000" w:rsidRPr="00742E82" w:rsidP="00742E82">
      <w:pPr>
        <w:pStyle w:val="ListBullet2"/>
      </w:pPr>
      <w:r w:rsidRPr="00742E82">
        <w:t>security</w:t>
      </w:r>
      <w:r w:rsidRPr="00742E82">
        <w:t xml:space="preserve"> doors and door controls</w:t>
      </w:r>
    </w:p>
    <w:p w:rsidR="00000000" w:rsidRPr="00742E82" w:rsidP="00742E82">
      <w:pPr>
        <w:pStyle w:val="ListBullet"/>
      </w:pPr>
      <w:r w:rsidRPr="00742E82">
        <w:t>types and functions of computer software associated with security equipment and systems</w:t>
      </w:r>
    </w:p>
    <w:p w:rsidR="00000000" w:rsidRPr="00742E82" w:rsidP="00742E82">
      <w:pPr>
        <w:pStyle w:val="ListBullet"/>
      </w:pPr>
      <w:r w:rsidRPr="00742E82">
        <w:t>types of earthing systems used in electrical installations</w:t>
      </w:r>
    </w:p>
    <w:p w:rsidR="00000000" w:rsidRPr="00742E82" w:rsidP="00742E82">
      <w:pPr>
        <w:pStyle w:val="ListBullet"/>
      </w:pPr>
      <w:r w:rsidRPr="00742E82">
        <w:t>types of electrical connections and circuits encountered when commissioning and decommissioning security equipment and systems, and circuit protection requirements</w:t>
      </w:r>
    </w:p>
    <w:p w:rsidR="00000000" w:rsidRPr="00742E82" w:rsidP="00742E82">
      <w:pPr>
        <w:pStyle w:val="ListBullet"/>
      </w:pPr>
      <w:r w:rsidRPr="00742E82">
        <w:t>typical hazards encountered when commissioning and decommissioning security equipment and sy</w:t>
      </w:r>
      <w:r w:rsidRPr="00742E82">
        <w:t>stems and the control measures for each:</w:t>
      </w:r>
    </w:p>
    <w:p w:rsidR="00000000" w:rsidRPr="00742E82" w:rsidP="00742E82">
      <w:pPr>
        <w:pStyle w:val="ListBullet2"/>
      </w:pPr>
      <w:r w:rsidRPr="00742E82">
        <w:t>confined spaces</w:t>
      </w:r>
    </w:p>
    <w:p w:rsidR="00000000" w:rsidRPr="00742E82" w:rsidP="00742E82">
      <w:pPr>
        <w:pStyle w:val="ListBullet2"/>
      </w:pPr>
      <w:r w:rsidRPr="00742E82">
        <w:t>electrical</w:t>
      </w:r>
    </w:p>
    <w:p w:rsidR="00000000" w:rsidRPr="00742E82" w:rsidP="00742E82">
      <w:pPr>
        <w:pStyle w:val="ListBullet2"/>
      </w:pPr>
      <w:r w:rsidRPr="00742E82">
        <w:t>hazardous materials and chemicals</w:t>
      </w:r>
    </w:p>
    <w:p w:rsidR="00000000" w:rsidRPr="00742E82" w:rsidP="00742E82">
      <w:pPr>
        <w:pStyle w:val="ListBullet2"/>
      </w:pPr>
      <w:r w:rsidRPr="00742E82">
        <w:t>people in the work area</w:t>
      </w:r>
    </w:p>
    <w:p w:rsidR="00000000" w:rsidRPr="00742E82" w:rsidP="00742E82">
      <w:pPr>
        <w:pStyle w:val="ListBullet2"/>
      </w:pPr>
      <w:r w:rsidRPr="00742E82">
        <w:t>power tools</w:t>
      </w:r>
    </w:p>
    <w:p w:rsidR="00000000" w:rsidRPr="00742E82" w:rsidP="00742E82">
      <w:pPr>
        <w:pStyle w:val="ListBullet2"/>
      </w:pPr>
      <w:r w:rsidRPr="00742E82">
        <w:t>vermin</w:t>
      </w:r>
    </w:p>
    <w:p w:rsidR="00000000" w:rsidRPr="00742E82" w:rsidP="00742E82">
      <w:pPr>
        <w:pStyle w:val="ListBullet2"/>
      </w:pPr>
      <w:r w:rsidRPr="00742E82">
        <w:t>work at heights.</w:t>
      </w:r>
    </w:p>
    <w:p w:rsidR="00000000" w:rsidRPr="00742E82" w:rsidP="00742E82">
      <w:pPr>
        <w:pStyle w:val="AllowPageBreak"/>
      </w:pPr>
    </w:p>
    <w:p w:rsidR="00000000" w:rsidRPr="00742E82" w:rsidP="00742E82">
      <w:pPr>
        <w:pStyle w:val="Heading1"/>
      </w:pPr>
      <w:bookmarkStart w:id="4" w:name="O_1053089"/>
      <w:bookmarkEnd w:id="4"/>
      <w:r w:rsidRPr="00742E82">
        <w:t>Assessment Conditions</w:t>
      </w:r>
    </w:p>
    <w:p w:rsidR="00000000" w:rsidRPr="00742E82" w:rsidP="00D2320C">
      <w:pPr>
        <w:pStyle w:val="BodyText"/>
      </w:pPr>
      <w:r w:rsidRPr="00742E82">
        <w:t>Assessors must meet the requirements for assessors c</w:t>
      </w:r>
      <w:r w:rsidRPr="00742E82">
        <w:t>ontained in the Standards for Registered Training Organisations.</w:t>
      </w:r>
    </w:p>
    <w:p w:rsidR="00000000" w:rsidRPr="00742E82" w:rsidP="00D2320C">
      <w:pPr>
        <w:pStyle w:val="BodyText"/>
      </w:pPr>
      <w:r w:rsidRPr="00742E82">
        <w:t>All individuals engaged by a licensed RTO for security licensing purposes must hold both a security trainers licence (where such a licence exists within the relevant jurisdiction) and the lic</w:t>
      </w:r>
      <w:r w:rsidRPr="00742E82">
        <w:t>ence for performing the security activities for which the individual is providing training or assessment.  Regulators may impose other assessor conditions to meet jurisdictional assessment requirements.</w:t>
      </w:r>
    </w:p>
    <w:p w:rsidR="00000000" w:rsidRPr="00742E82" w:rsidP="00D2320C">
      <w:pPr>
        <w:pStyle w:val="BodyText"/>
      </w:pPr>
      <w:r w:rsidRPr="00742E82">
        <w:t>Assessment must be conducted in the workplace or in a</w:t>
      </w:r>
      <w:r w:rsidRPr="00742E82">
        <w:t xml:space="preserve"> simulated workplace environment. Candidates must have access to:</w:t>
      </w:r>
    </w:p>
    <w:p w:rsidR="00000000" w:rsidRPr="00742E82" w:rsidP="00742E82">
      <w:pPr>
        <w:pStyle w:val="ListBullet"/>
      </w:pPr>
      <w:r w:rsidRPr="00742E82">
        <w:t>workplace policies and procedures, work instructions, documentation, security equipment and systems, PPE, tools and materials required to achieve the performance evidence</w:t>
      </w:r>
    </w:p>
    <w:p w:rsidR="00000000" w:rsidRPr="00742E82" w:rsidP="00742E82">
      <w:pPr>
        <w:pStyle w:val="ListBullet"/>
      </w:pPr>
      <w:r w:rsidRPr="00742E82">
        <w:t>security equipment and system information to support commissioning and decommissioning activities</w:t>
      </w:r>
    </w:p>
    <w:p w:rsidR="00000000" w:rsidRPr="00742E82" w:rsidP="00742E82">
      <w:pPr>
        <w:pStyle w:val="ListBullet"/>
      </w:pPr>
      <w:r w:rsidRPr="00742E82">
        <w:t>AS/NZS 2201.</w:t>
      </w:r>
    </w:p>
    <w:p w:rsidR="00000000" w:rsidRPr="00742E82" w:rsidP="00742E82">
      <w:pPr>
        <w:pStyle w:val="AllowPageBreak"/>
      </w:pPr>
    </w:p>
    <w:p w:rsidR="00000000" w:rsidRPr="00742E82" w:rsidP="00742E82">
      <w:pPr>
        <w:pStyle w:val="Heading1"/>
      </w:pPr>
      <w:bookmarkStart w:id="5" w:name="O_1053087"/>
      <w:bookmarkEnd w:id="5"/>
      <w:r w:rsidRPr="00742E82">
        <w:t>Links</w:t>
      </w:r>
    </w:p>
    <w:p w:rsidR="00000000" w:rsidRPr="00742E82" w:rsidP="00D2320C">
      <w:pPr>
        <w:pStyle w:val="BodyText"/>
      </w:pPr>
      <w:r w:rsidRPr="00742E8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B595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42E82" w:rsidP="00742E82"/>
    <w:sectPr w:rsidSect="00742E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82" w:rsidRPr="00D2320C" w:rsidP="00D232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20C" w:rsidP="00742E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320C" w:rsidP="00742E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2320C" w:rsidP="00742E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2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2E82" w:rsidRPr="00D2320C" w:rsidP="00D232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20C" w:rsidRPr="002D2AF8" w:rsidP="00742E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CPPSEC3038 Commission and decommission security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2320C" w:rsidP="00742E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EAB3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2E21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90D5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E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2E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2E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2E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2E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2E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2E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2E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2E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2E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2E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2E82"/>
  </w:style>
  <w:style w:type="character" w:customStyle="1" w:styleId="Heading1Char">
    <w:name w:val="Heading 1 Char"/>
    <w:basedOn w:val="DefaultParagraphFont"/>
    <w:link w:val="Heading1"/>
    <w:rsid w:val="00742E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2E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2E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2E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2E8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2E82"/>
    <w:rPr>
      <w:i/>
    </w:rPr>
  </w:style>
  <w:style w:type="paragraph" w:customStyle="1" w:styleId="SuperHeading">
    <w:name w:val="SuperHeading"/>
    <w:basedOn w:val="Normal"/>
    <w:rsid w:val="00742E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2E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2E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2E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2E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2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2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2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2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2E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2E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2E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2E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2E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2E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2E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2E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2E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2E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2E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2E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2E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2E82"/>
    <w:rPr>
      <w:b/>
      <w:spacing w:val="0"/>
    </w:rPr>
  </w:style>
  <w:style w:type="paragraph" w:customStyle="1" w:styleId="SuperTitle">
    <w:name w:val="SuperTitle"/>
    <w:basedOn w:val="Title"/>
    <w:rsid w:val="00742E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2E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2E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2E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2E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2E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2E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2E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2E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2E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2E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2E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2E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2E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2E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2E82"/>
  </w:style>
  <w:style w:type="paragraph" w:styleId="TableofFigures">
    <w:name w:val="table of figures"/>
    <w:basedOn w:val="Normal"/>
    <w:next w:val="Normal"/>
    <w:semiHidden/>
    <w:rsid w:val="00742E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2E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2E82"/>
    <w:rPr>
      <w:rFonts w:ascii="Wingdings" w:hAnsi="Wingdings"/>
    </w:rPr>
  </w:style>
  <w:style w:type="paragraph" w:customStyle="1" w:styleId="TableHeading">
    <w:name w:val="Table Heading"/>
    <w:basedOn w:val="HeadingBase"/>
    <w:rsid w:val="00742E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2E82"/>
    <w:rPr>
      <w:color w:val="0033CC"/>
      <w:u w:val="none"/>
    </w:rPr>
  </w:style>
  <w:style w:type="paragraph" w:customStyle="1" w:styleId="BodyTextRight">
    <w:name w:val="Body Text Right"/>
    <w:basedOn w:val="BodyText"/>
    <w:rsid w:val="00742E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2E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2E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2E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2E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2E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2E82"/>
    <w:rPr>
      <w:sz w:val="32"/>
    </w:rPr>
  </w:style>
  <w:style w:type="paragraph" w:customStyle="1" w:styleId="HeadingProcedure">
    <w:name w:val="Heading Procedure"/>
    <w:basedOn w:val="HeadingBase"/>
    <w:next w:val="Normal"/>
    <w:rsid w:val="00742E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2E82"/>
    <w:pPr>
      <w:spacing w:before="60" w:after="60"/>
    </w:pPr>
  </w:style>
  <w:style w:type="paragraph" w:styleId="ListContinue">
    <w:name w:val="List Continue"/>
    <w:basedOn w:val="List"/>
    <w:rsid w:val="00742E82"/>
    <w:pPr>
      <w:ind w:firstLine="0"/>
    </w:pPr>
  </w:style>
  <w:style w:type="paragraph" w:customStyle="1" w:styleId="ListNote">
    <w:name w:val="List Note"/>
    <w:basedOn w:val="List"/>
    <w:rsid w:val="00742E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2E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2E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2E82"/>
    <w:rPr>
      <w:rFonts w:ascii="Courier New" w:hAnsi="Courier New"/>
    </w:rPr>
  </w:style>
  <w:style w:type="paragraph" w:customStyle="1" w:styleId="NoteBullet">
    <w:name w:val="Note Bullet"/>
    <w:basedOn w:val="Note"/>
    <w:rsid w:val="00742E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2E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2E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2E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2E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2E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2E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2E82"/>
    <w:rPr>
      <w:b/>
      <w:smallCaps/>
    </w:rPr>
  </w:style>
  <w:style w:type="paragraph" w:customStyle="1" w:styleId="TableListNumber">
    <w:name w:val="Table List Number"/>
    <w:basedOn w:val="ListNumber"/>
    <w:rsid w:val="00742E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2E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2E82"/>
    <w:pPr>
      <w:numPr>
        <w:numId w:val="9"/>
      </w:numPr>
    </w:pPr>
  </w:style>
  <w:style w:type="paragraph" w:customStyle="1" w:styleId="ListAlpha2">
    <w:name w:val="List Alpha 2"/>
    <w:basedOn w:val="List2"/>
    <w:rsid w:val="00742E82"/>
    <w:pPr>
      <w:numPr>
        <w:numId w:val="8"/>
      </w:numPr>
    </w:pPr>
  </w:style>
  <w:style w:type="paragraph" w:styleId="List2">
    <w:name w:val="List 2"/>
    <w:basedOn w:val="BodyText"/>
    <w:rsid w:val="00742E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2E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2E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2E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2E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2E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2E82"/>
    <w:pPr>
      <w:numPr>
        <w:numId w:val="4"/>
      </w:numPr>
    </w:pPr>
  </w:style>
  <w:style w:type="paragraph" w:styleId="ListContinue2">
    <w:name w:val="List Continue 2"/>
    <w:basedOn w:val="List2"/>
    <w:rsid w:val="00742E82"/>
    <w:pPr>
      <w:ind w:firstLine="0"/>
    </w:pPr>
  </w:style>
  <w:style w:type="paragraph" w:styleId="ListContinue3">
    <w:name w:val="List Continue 3"/>
    <w:basedOn w:val="List3"/>
    <w:rsid w:val="00742E82"/>
    <w:pPr>
      <w:ind w:left="1021" w:firstLine="0"/>
    </w:pPr>
  </w:style>
  <w:style w:type="paragraph" w:styleId="ListContinue4">
    <w:name w:val="List Continue 4"/>
    <w:basedOn w:val="List4"/>
    <w:rsid w:val="00742E82"/>
    <w:pPr>
      <w:ind w:firstLine="0"/>
    </w:pPr>
  </w:style>
  <w:style w:type="paragraph" w:styleId="ListContinue5">
    <w:name w:val="List Continue 5"/>
    <w:basedOn w:val="List5"/>
    <w:rsid w:val="00742E82"/>
    <w:pPr>
      <w:ind w:firstLine="0"/>
    </w:pPr>
  </w:style>
  <w:style w:type="paragraph" w:styleId="ListNumber3">
    <w:name w:val="List Number 3"/>
    <w:basedOn w:val="List3"/>
    <w:rsid w:val="00742E82"/>
    <w:pPr>
      <w:numPr>
        <w:numId w:val="5"/>
      </w:numPr>
    </w:pPr>
  </w:style>
  <w:style w:type="paragraph" w:styleId="ListNumber4">
    <w:name w:val="List Number 4"/>
    <w:basedOn w:val="List4"/>
    <w:rsid w:val="00742E82"/>
    <w:pPr>
      <w:numPr>
        <w:numId w:val="6"/>
      </w:numPr>
    </w:pPr>
  </w:style>
  <w:style w:type="paragraph" w:styleId="ListNumber5">
    <w:name w:val="List Number 5"/>
    <w:basedOn w:val="List5"/>
    <w:rsid w:val="00742E82"/>
    <w:pPr>
      <w:numPr>
        <w:numId w:val="7"/>
      </w:numPr>
    </w:pPr>
  </w:style>
  <w:style w:type="paragraph" w:styleId="BlockText">
    <w:name w:val="Block Text"/>
    <w:basedOn w:val="Normal"/>
    <w:rsid w:val="00742E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2E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2E82"/>
    <w:rPr>
      <w:sz w:val="16"/>
      <w:vertAlign w:val="superscript"/>
    </w:rPr>
  </w:style>
  <w:style w:type="character" w:customStyle="1" w:styleId="Symbols">
    <w:name w:val="Symbols"/>
    <w:basedOn w:val="DefaultParagraphFont"/>
    <w:rsid w:val="00742E82"/>
    <w:rPr>
      <w:rFonts w:ascii="Symbol" w:hAnsi="Symbol"/>
    </w:rPr>
  </w:style>
  <w:style w:type="character" w:customStyle="1" w:styleId="MenuOptions">
    <w:name w:val="Menu Options"/>
    <w:basedOn w:val="DefaultParagraphFont"/>
    <w:rsid w:val="00742E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2E82"/>
    <w:rPr>
      <w:b/>
    </w:rPr>
  </w:style>
  <w:style w:type="character" w:customStyle="1" w:styleId="Underlined">
    <w:name w:val="Underlined"/>
    <w:basedOn w:val="DefaultParagraphFont"/>
    <w:rsid w:val="00742E82"/>
    <w:rPr>
      <w:u w:val="single"/>
    </w:rPr>
  </w:style>
  <w:style w:type="paragraph" w:customStyle="1" w:styleId="TableBodyTextRight">
    <w:name w:val="Table Body Text Right"/>
    <w:basedOn w:val="TableBodyText"/>
    <w:rsid w:val="00742E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2E82"/>
    <w:rPr>
      <w:sz w:val="18"/>
    </w:rPr>
  </w:style>
  <w:style w:type="paragraph" w:customStyle="1" w:styleId="BodySmallRight">
    <w:name w:val="Body Small Right"/>
    <w:basedOn w:val="BodyTextRight"/>
    <w:rsid w:val="00742E82"/>
    <w:rPr>
      <w:sz w:val="18"/>
      <w:szCs w:val="18"/>
    </w:rPr>
  </w:style>
  <w:style w:type="paragraph" w:customStyle="1" w:styleId="MarginEdition">
    <w:name w:val="Margin Edition"/>
    <w:basedOn w:val="MarginNote"/>
    <w:rsid w:val="00742E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2E82"/>
    <w:rPr>
      <w:sz w:val="2"/>
      <w:szCs w:val="2"/>
    </w:rPr>
  </w:style>
  <w:style w:type="character" w:customStyle="1" w:styleId="Small">
    <w:name w:val="Small"/>
    <w:basedOn w:val="DefaultParagraphFont"/>
    <w:rsid w:val="00742E82"/>
    <w:rPr>
      <w:sz w:val="16"/>
    </w:rPr>
  </w:style>
  <w:style w:type="paragraph" w:customStyle="1" w:styleId="WideTable">
    <w:name w:val="Wide Table"/>
    <w:basedOn w:val="Normal"/>
    <w:rsid w:val="00742E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2E82"/>
  </w:style>
  <w:style w:type="paragraph" w:styleId="Quote">
    <w:name w:val="Quote"/>
    <w:basedOn w:val="Heading1"/>
    <w:link w:val="QuoteChar"/>
    <w:qFormat/>
    <w:rsid w:val="00742E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2E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2E82"/>
    <w:pPr>
      <w:pageBreakBefore/>
    </w:pPr>
  </w:style>
  <w:style w:type="paragraph" w:customStyle="1" w:styleId="Border">
    <w:name w:val="Border"/>
    <w:basedOn w:val="Normal"/>
    <w:qFormat/>
    <w:rsid w:val="00742E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2E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E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E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2E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2E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2E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2E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2E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2E82"/>
    <w:rPr>
      <w:u w:val="single"/>
    </w:rPr>
  </w:style>
  <w:style w:type="character" w:customStyle="1" w:styleId="BoldandItalics">
    <w:name w:val="Bold and Italics"/>
    <w:qFormat/>
    <w:rsid w:val="00742E82"/>
    <w:rPr>
      <w:b/>
      <w:i/>
      <w:u w:val="none"/>
    </w:rPr>
  </w:style>
  <w:style w:type="paragraph" w:styleId="BalloonText">
    <w:name w:val="Balloon Text"/>
    <w:basedOn w:val="Normal"/>
    <w:link w:val="BalloonTextChar"/>
    <w:rsid w:val="00742E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2E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2E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2E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2E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2E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2E82"/>
    <w:pPr>
      <w:spacing w:before="0" w:after="0"/>
    </w:pPr>
  </w:style>
  <w:style w:type="paragraph" w:customStyle="1" w:styleId="BodyTextBold">
    <w:name w:val="Body Text Bold"/>
    <w:basedOn w:val="BodyText"/>
    <w:qFormat/>
    <w:rsid w:val="00742E82"/>
    <w:rPr>
      <w:b/>
    </w:rPr>
  </w:style>
  <w:style w:type="character" w:styleId="Hyperlink">
    <w:name w:val="Hyperlink"/>
    <w:basedOn w:val="DefaultParagraphFont"/>
    <w:uiPriority w:val="99"/>
    <w:unhideWhenUsed/>
    <w:rsid w:val="00D232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4115</Characters>
  <Application>Microsoft Office Word</Application>
  <DocSecurity>0</DocSecurity>
  <Lines>100</Lines>
  <Paragraphs>72</Paragraphs>
  <ScaleCrop>false</ScaleCrop>
  <Company>Author-it Software Corporation Ltd.</Company>
  <LinksUpToDate>false</LinksUpToDate>
  <CharactersWithSpaces>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CPPSEC3038 Commission and decommission security equipment and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2023-02-03T06:39:00Z</dcterms:created>
  <dcterms:modified xsi:type="dcterms:W3CDTF">2023-02-03T06:39:00Z</dcterms:modified>
</cp:coreProperties>
</file>