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199C" w:rsidP="009919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CPPSEC2109 Monitor and control access and exit of persons and vehicles from premises</w:t>
      </w:r>
      <w:r>
        <w:fldChar w:fldCharType="end"/>
      </w:r>
    </w:p>
    <w:p w:rsidR="0099199C" w:rsidP="0099199C">
      <w:pPr>
        <w:pStyle w:val="Version"/>
        <w:sectPr w:rsidSect="000E22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2232" w:rsidP="000E2232">
      <w:pPr>
        <w:pStyle w:val="SuperHeading"/>
      </w:pPr>
      <w:r w:rsidRPr="000E2232">
        <w:t>Assessment Requirements for CPPSEC2109 Monitor and control access and exit of persons and vehicles from premises</w:t>
      </w:r>
    </w:p>
    <w:p w:rsidR="00000000" w:rsidRPr="000E2232" w:rsidP="000E2232">
      <w:pPr>
        <w:pStyle w:val="Heading1"/>
      </w:pPr>
      <w:bookmarkStart w:id="1" w:name="O_1008853"/>
      <w:bookmarkEnd w:id="1"/>
      <w:r w:rsidRPr="000E2232">
        <w:t>Modification History</w:t>
      </w:r>
    </w:p>
    <w:p w:rsidR="00000000" w:rsidRPr="000E2232" w:rsidP="0099199C">
      <w:pPr>
        <w:pStyle w:val="BodyText"/>
      </w:pPr>
      <w:r w:rsidRPr="000E2232">
        <w:t>Release 1.</w:t>
      </w:r>
    </w:p>
    <w:p w:rsidR="00000000" w:rsidRPr="000E2232" w:rsidP="0099199C">
      <w:pPr>
        <w:pStyle w:val="BodyText"/>
      </w:pPr>
      <w:r w:rsidRPr="000E2232">
        <w:t>Supersedes and is non-equivalent to CPPSEC2011B Control access to and exit from premises and CPPSEC3017A Plan and conduct evacuation from premises.</w:t>
      </w:r>
    </w:p>
    <w:p w:rsidR="00000000" w:rsidRPr="000E2232" w:rsidP="0099199C">
      <w:pPr>
        <w:pStyle w:val="BodyText"/>
      </w:pPr>
      <w:r w:rsidRPr="000E2232">
        <w:t xml:space="preserve">Units merged to reduce duplication and align with vocational needs.  </w:t>
      </w:r>
    </w:p>
    <w:p w:rsidR="00000000" w:rsidRPr="000E2232" w:rsidP="0099199C">
      <w:pPr>
        <w:pStyle w:val="BodyText"/>
      </w:pPr>
      <w:r w:rsidRPr="000E2232">
        <w:t>This version first released with CPP P</w:t>
      </w:r>
      <w:r w:rsidRPr="000E2232">
        <w:t>roperty Services Training Package Version 7.0.</w:t>
      </w:r>
    </w:p>
    <w:p w:rsidR="00000000" w:rsidRPr="000E2232" w:rsidP="000E2232">
      <w:pPr>
        <w:pStyle w:val="Heading1"/>
      </w:pPr>
      <w:bookmarkStart w:id="2" w:name="O_1008856"/>
      <w:bookmarkEnd w:id="2"/>
      <w:r w:rsidRPr="000E2232">
        <w:t>Performance Evidence</w:t>
      </w:r>
    </w:p>
    <w:p w:rsidR="00000000" w:rsidRPr="000E2232" w:rsidP="0099199C">
      <w:pPr>
        <w:pStyle w:val="BodyText"/>
      </w:pPr>
      <w:r w:rsidRPr="000E2232">
        <w:t>To demonstrate competency in this unit, a person must monitor and control:</w:t>
      </w:r>
    </w:p>
    <w:p w:rsidR="00000000" w:rsidRPr="000E2232" w:rsidP="000E2232">
      <w:pPr>
        <w:pStyle w:val="ListBullet"/>
      </w:pPr>
      <w:r w:rsidRPr="000E2232">
        <w:t>the entry of three persons to premises where:</w:t>
      </w:r>
    </w:p>
    <w:p w:rsidR="00000000" w:rsidRPr="000E2232" w:rsidP="000E2232">
      <w:pPr>
        <w:pStyle w:val="ListBullet2"/>
      </w:pPr>
      <w:r w:rsidRPr="000E2232">
        <w:t>one person is carrying dangerous or prohibited</w:t>
      </w:r>
      <w:r w:rsidRPr="000E2232">
        <w:t xml:space="preserve"> goods</w:t>
      </w:r>
    </w:p>
    <w:p w:rsidR="00000000" w:rsidRPr="000E2232" w:rsidP="000E2232">
      <w:pPr>
        <w:pStyle w:val="ListBullet2"/>
      </w:pPr>
      <w:r w:rsidRPr="000E2232">
        <w:t>one person does not meet conditions of entry</w:t>
      </w:r>
    </w:p>
    <w:p w:rsidR="00000000" w:rsidRPr="000E2232" w:rsidP="000E2232">
      <w:pPr>
        <w:pStyle w:val="ListBullet2"/>
      </w:pPr>
      <w:r w:rsidRPr="000E2232">
        <w:t>one person refuses a request to search baggage</w:t>
      </w:r>
    </w:p>
    <w:p w:rsidR="00000000" w:rsidRPr="000E2232" w:rsidP="000E2232">
      <w:pPr>
        <w:pStyle w:val="ListBullet"/>
      </w:pPr>
      <w:r w:rsidRPr="000E2232">
        <w:t>the entry and exit of two vehicles where one is carrying dangerous or prohibited goods</w:t>
      </w:r>
    </w:p>
    <w:p w:rsidR="00000000" w:rsidRPr="000E2232" w:rsidP="000E2232">
      <w:pPr>
        <w:pStyle w:val="ListBullet"/>
      </w:pPr>
      <w:r w:rsidRPr="000E2232">
        <w:t>entry to premises via an access control system where there has been at least one unauthorised attempt at entry.</w:t>
      </w:r>
    </w:p>
    <w:p w:rsidR="00000000" w:rsidRPr="000E2232" w:rsidP="0099199C">
      <w:pPr>
        <w:pStyle w:val="BodyText"/>
      </w:pPr>
      <w:r w:rsidRPr="000E2232">
        <w:t>In doing this, the person must meet the performance criteria for this unit.</w:t>
      </w:r>
    </w:p>
    <w:p w:rsidR="00000000" w:rsidRPr="000E2232" w:rsidP="000E2232">
      <w:pPr>
        <w:pStyle w:val="Heading1"/>
      </w:pPr>
      <w:bookmarkStart w:id="3" w:name="O_1008855"/>
      <w:bookmarkEnd w:id="3"/>
      <w:r w:rsidRPr="000E2232">
        <w:t>Knowledge Evidence</w:t>
      </w:r>
    </w:p>
    <w:p w:rsidR="00000000" w:rsidRPr="000E2232" w:rsidP="0099199C">
      <w:pPr>
        <w:pStyle w:val="BodyText"/>
      </w:pPr>
      <w:r w:rsidRPr="000E2232">
        <w:t xml:space="preserve">To be competent in this unit, </w:t>
      </w:r>
      <w:r w:rsidRPr="000E2232">
        <w:t>a person must demonstrate knowledge of:</w:t>
      </w:r>
    </w:p>
    <w:p w:rsidR="00000000" w:rsidRPr="000E2232" w:rsidP="000E2232">
      <w:pPr>
        <w:pStyle w:val="ListBullet"/>
      </w:pPr>
      <w:r w:rsidRPr="000E2232">
        <w:t>standard operating procedures and workplace policies that ensure compliance with legislative and regulatory requirements when monitoring and controlling access and exit of persons and vehicles from premises:</w:t>
      </w:r>
    </w:p>
    <w:p w:rsidR="00000000" w:rsidRPr="000E2232" w:rsidP="000E2232">
      <w:pPr>
        <w:pStyle w:val="ListBullet2"/>
      </w:pPr>
      <w:r w:rsidRPr="000E2232">
        <w:t>anti-d</w:t>
      </w:r>
      <w:r w:rsidRPr="000E2232">
        <w:t>iscrimination and diversity</w:t>
      </w:r>
    </w:p>
    <w:p w:rsidR="00000000" w:rsidRPr="000E2232" w:rsidP="000E2232">
      <w:pPr>
        <w:pStyle w:val="ListBullet2"/>
      </w:pPr>
      <w:r w:rsidRPr="000E2232">
        <w:t>apprehension, arrest and restraint of persons</w:t>
      </w:r>
    </w:p>
    <w:p w:rsidR="00000000" w:rsidRPr="000E2232" w:rsidP="000E2232">
      <w:pPr>
        <w:pStyle w:val="ListBullet2"/>
      </w:pPr>
      <w:r w:rsidRPr="000E2232">
        <w:t>control of persons under the influence of intoxicating substances</w:t>
      </w:r>
    </w:p>
    <w:p w:rsidR="00000000" w:rsidRPr="000E2232" w:rsidP="000E2232">
      <w:pPr>
        <w:pStyle w:val="ListBullet2"/>
      </w:pPr>
      <w:r w:rsidRPr="000E2232">
        <w:t>duty of care</w:t>
      </w:r>
    </w:p>
    <w:p w:rsidR="00000000" w:rsidRPr="000E2232" w:rsidP="000E2232">
      <w:pPr>
        <w:pStyle w:val="ListBullet2"/>
      </w:pPr>
      <w:r w:rsidRPr="000E2232">
        <w:t>licensing requirements and limits of own authority</w:t>
      </w:r>
    </w:p>
    <w:p w:rsidR="00000000" w:rsidRPr="000E2232" w:rsidP="000E2232">
      <w:pPr>
        <w:pStyle w:val="ListBullet2"/>
      </w:pPr>
      <w:r w:rsidRPr="000E2232">
        <w:t xml:space="preserve">search of people, property and vehicles and seizure </w:t>
      </w:r>
      <w:r w:rsidRPr="000E2232">
        <w:t>of goods</w:t>
      </w:r>
    </w:p>
    <w:p w:rsidR="00000000" w:rsidRPr="000E2232" w:rsidP="000E2232">
      <w:pPr>
        <w:pStyle w:val="ListBullet2"/>
      </w:pPr>
      <w:r w:rsidRPr="000E2232">
        <w:t>trespass and removal of persons</w:t>
      </w:r>
    </w:p>
    <w:p w:rsidR="00000000" w:rsidRPr="000E2232" w:rsidP="000E2232">
      <w:pPr>
        <w:pStyle w:val="ListBullet2"/>
      </w:pPr>
      <w:r w:rsidRPr="000E2232">
        <w:t>use of force</w:t>
      </w:r>
    </w:p>
    <w:p w:rsidR="00000000" w:rsidRPr="000E2232" w:rsidP="000E2232">
      <w:pPr>
        <w:pStyle w:val="ListBullet2"/>
      </w:pPr>
      <w:r w:rsidRPr="000E2232">
        <w:t>workplace health and safety (WHS)</w:t>
      </w:r>
    </w:p>
    <w:p w:rsidR="00000000" w:rsidRPr="000E2232" w:rsidP="000E2232">
      <w:pPr>
        <w:pStyle w:val="ListBullet"/>
      </w:pPr>
      <w:r w:rsidRPr="000E2232">
        <w:t>approved communication terminology, call signs and radio channels used in the security industry</w:t>
      </w:r>
    </w:p>
    <w:p w:rsidR="00000000" w:rsidRPr="000E2232" w:rsidP="000E2232">
      <w:pPr>
        <w:pStyle w:val="ListBullet"/>
      </w:pPr>
      <w:r w:rsidRPr="000E2232">
        <w:t>current national terrorism threat level and context</w:t>
      </w:r>
    </w:p>
    <w:p w:rsidR="00000000" w:rsidRPr="000E2232" w:rsidP="000E2232">
      <w:pPr>
        <w:pStyle w:val="ListBullet"/>
      </w:pPr>
      <w:r w:rsidRPr="000E2232">
        <w:t>how negotiation techniques can be used to defuse and resolve conflict</w:t>
      </w:r>
    </w:p>
    <w:p w:rsidR="00000000" w:rsidRPr="000E2232" w:rsidP="000E2232">
      <w:pPr>
        <w:pStyle w:val="ListBullet"/>
      </w:pPr>
      <w:r w:rsidRPr="000E2232">
        <w:t>operational principles and features of common access control systems</w:t>
      </w:r>
    </w:p>
    <w:p w:rsidR="00000000" w:rsidRPr="000E2232" w:rsidP="000E2232">
      <w:pPr>
        <w:pStyle w:val="ListBullet"/>
      </w:pPr>
      <w:r w:rsidRPr="000E2232">
        <w:t>premises’ emergency and evacuation procedures</w:t>
      </w:r>
    </w:p>
    <w:p w:rsidR="00000000" w:rsidRPr="000E2232" w:rsidP="000E2232">
      <w:pPr>
        <w:pStyle w:val="ListBullet"/>
      </w:pPr>
      <w:r w:rsidRPr="000E2232">
        <w:t>premises’ layout and access points</w:t>
      </w:r>
    </w:p>
    <w:p w:rsidR="00000000" w:rsidRPr="000E2232" w:rsidP="000E2232">
      <w:pPr>
        <w:pStyle w:val="ListBullet"/>
      </w:pPr>
      <w:r w:rsidRPr="000E2232">
        <w:t>purpose of Australia</w:t>
      </w:r>
      <w:r>
        <w:t>’</w:t>
      </w:r>
      <w:r w:rsidRPr="000E2232">
        <w:t xml:space="preserve">s </w:t>
      </w:r>
      <w:r w:rsidRPr="000E2232">
        <w:rPr>
          <w:rStyle w:val="Emphasis"/>
        </w:rPr>
        <w:t xml:space="preserve">Strategy for </w:t>
      </w:r>
      <w:r w:rsidRPr="000E2232">
        <w:rPr>
          <w:rStyle w:val="Emphasis"/>
        </w:rPr>
        <w:t>Protecting Crowded Places from Terrorism</w:t>
      </w:r>
      <w:r w:rsidRPr="000E2232">
        <w:t xml:space="preserve"> and understanding of:</w:t>
      </w:r>
    </w:p>
    <w:p w:rsidR="00000000" w:rsidRPr="000E2232" w:rsidP="000E2232">
      <w:pPr>
        <w:pStyle w:val="ListBullet2"/>
      </w:pPr>
      <w:r w:rsidRPr="000E2232">
        <w:t>definition of crowded places</w:t>
      </w:r>
    </w:p>
    <w:p w:rsidR="00000000" w:rsidRPr="000E2232" w:rsidP="000E2232">
      <w:pPr>
        <w:pStyle w:val="ListBullet2"/>
      </w:pPr>
      <w:r w:rsidRPr="000E2232">
        <w:t>key security issues for crowded places</w:t>
      </w:r>
    </w:p>
    <w:p w:rsidR="00000000" w:rsidRPr="000E2232" w:rsidP="000E2232">
      <w:pPr>
        <w:pStyle w:val="ListBullet2"/>
      </w:pPr>
      <w:r w:rsidRPr="000E2232">
        <w:t>objectives, characteristics and identification of active armed offenders</w:t>
      </w:r>
    </w:p>
    <w:p w:rsidR="00000000" w:rsidRPr="000E2232" w:rsidP="000E2232">
      <w:pPr>
        <w:pStyle w:val="ListBullet2"/>
      </w:pPr>
      <w:r w:rsidRPr="000E2232">
        <w:t>definition of hostile vehicles and methods of attac</w:t>
      </w:r>
      <w:r w:rsidRPr="000E2232">
        <w:t>k</w:t>
      </w:r>
    </w:p>
    <w:p w:rsidR="00000000" w:rsidRPr="000E2232" w:rsidP="000E2232">
      <w:pPr>
        <w:pStyle w:val="ListBullet2"/>
      </w:pPr>
      <w:r w:rsidRPr="000E2232">
        <w:t>signs of chemical weapons attack and recommended response</w:t>
      </w:r>
    </w:p>
    <w:p w:rsidR="00000000" w:rsidRPr="000E2232" w:rsidP="000E2232">
      <w:pPr>
        <w:pStyle w:val="ListBullet2"/>
      </w:pPr>
      <w:r w:rsidRPr="000E2232">
        <w:t>general features of improvised explosive devices and recommended incident response</w:t>
      </w:r>
    </w:p>
    <w:p w:rsidR="00000000" w:rsidRPr="000E2232" w:rsidP="000E2232">
      <w:pPr>
        <w:pStyle w:val="ListBullet"/>
      </w:pPr>
      <w:r w:rsidRPr="000E2232">
        <w:t>signs of intoxication</w:t>
      </w:r>
    </w:p>
    <w:p w:rsidR="00000000" w:rsidRPr="000E2232" w:rsidP="000E2232">
      <w:pPr>
        <w:pStyle w:val="ListBullet"/>
      </w:pPr>
      <w:r w:rsidRPr="000E2232">
        <w:t>signs of positional asphyxiation</w:t>
      </w:r>
    </w:p>
    <w:p w:rsidR="00000000" w:rsidRPr="000E2232" w:rsidP="000E2232">
      <w:pPr>
        <w:pStyle w:val="ListBullet"/>
      </w:pPr>
      <w:r w:rsidRPr="000E2232">
        <w:t>the phonetic alphabet and how it is used</w:t>
      </w:r>
    </w:p>
    <w:p w:rsidR="00000000" w:rsidRPr="000E2232" w:rsidP="000E2232">
      <w:pPr>
        <w:pStyle w:val="ListBullet"/>
      </w:pPr>
      <w:r w:rsidRPr="000E2232">
        <w:t>types of behavioural anomalies and suspect behaviours that can indicate criminal activity, hostile reconnaissance or the potential for terrorist activity</w:t>
      </w:r>
    </w:p>
    <w:p w:rsidR="00000000" w:rsidRPr="000E2232" w:rsidP="000E2232">
      <w:pPr>
        <w:pStyle w:val="ListBullet"/>
      </w:pPr>
      <w:r w:rsidRPr="000E2232">
        <w:t>types of behaviours and non-verbal language that can escalate conflict</w:t>
      </w:r>
    </w:p>
    <w:p w:rsidR="00000000" w:rsidRPr="000E2232" w:rsidP="000E2232">
      <w:pPr>
        <w:pStyle w:val="ListBullet"/>
      </w:pPr>
      <w:r w:rsidRPr="000E2232">
        <w:t>types of identification and aut</w:t>
      </w:r>
      <w:r w:rsidRPr="000E2232">
        <w:t>hority required to confirm entry to premises</w:t>
      </w:r>
    </w:p>
    <w:p w:rsidR="00000000" w:rsidRPr="000E2232" w:rsidP="000E2232">
      <w:pPr>
        <w:pStyle w:val="ListBullet"/>
      </w:pPr>
      <w:r w:rsidRPr="000E2232">
        <w:t>types of vehicles that may require monitoring while accessing and exiting from premises, including:</w:t>
      </w:r>
    </w:p>
    <w:p w:rsidR="00000000" w:rsidRPr="000E2232" w:rsidP="000E2232">
      <w:pPr>
        <w:pStyle w:val="ListBullet2"/>
      </w:pPr>
      <w:r w:rsidRPr="000E2232">
        <w:t>bicycles</w:t>
      </w:r>
    </w:p>
    <w:p w:rsidR="00000000" w:rsidRPr="000E2232" w:rsidP="000E2232">
      <w:pPr>
        <w:pStyle w:val="ListBullet2"/>
      </w:pPr>
      <w:r w:rsidRPr="000E2232">
        <w:t>buses</w:t>
      </w:r>
    </w:p>
    <w:p w:rsidR="00000000" w:rsidRPr="000E2232" w:rsidP="000E2232">
      <w:pPr>
        <w:pStyle w:val="ListBullet2"/>
      </w:pPr>
      <w:r w:rsidRPr="000E2232">
        <w:t>cars</w:t>
      </w:r>
    </w:p>
    <w:p w:rsidR="00000000" w:rsidRPr="000E2232" w:rsidP="000E2232">
      <w:pPr>
        <w:pStyle w:val="ListBullet2"/>
      </w:pPr>
      <w:r w:rsidRPr="000E2232">
        <w:t>motorcycles</w:t>
      </w:r>
    </w:p>
    <w:p w:rsidR="00000000" w:rsidRPr="000E2232" w:rsidP="000E2232">
      <w:pPr>
        <w:pStyle w:val="ListBullet2"/>
      </w:pPr>
      <w:r w:rsidRPr="000E2232">
        <w:t>personal transporters</w:t>
      </w:r>
    </w:p>
    <w:p w:rsidR="00000000" w:rsidRPr="000E2232" w:rsidP="000E2232">
      <w:pPr>
        <w:pStyle w:val="ListBullet2"/>
      </w:pPr>
      <w:r w:rsidRPr="000E2232">
        <w:t>ride-on lawnmowers</w:t>
      </w:r>
    </w:p>
    <w:p w:rsidR="00000000" w:rsidRPr="000E2232" w:rsidP="000E2232">
      <w:pPr>
        <w:pStyle w:val="ListBullet2"/>
      </w:pPr>
      <w:r w:rsidRPr="000E2232">
        <w:t>trolleys</w:t>
      </w:r>
    </w:p>
    <w:p w:rsidR="00000000" w:rsidRPr="000E2232" w:rsidP="000E2232">
      <w:pPr>
        <w:pStyle w:val="ListBullet2"/>
      </w:pPr>
      <w:r w:rsidRPr="000E2232">
        <w:t>trucks</w:t>
      </w:r>
    </w:p>
    <w:p w:rsidR="00000000" w:rsidRPr="000E2232" w:rsidP="000E2232">
      <w:pPr>
        <w:pStyle w:val="ListBullet"/>
      </w:pPr>
      <w:r w:rsidRPr="000E2232">
        <w:t>ways that social and</w:t>
      </w:r>
      <w:r w:rsidRPr="000E2232">
        <w:t xml:space="preserve"> cultural differences may be expressed.</w:t>
      </w:r>
    </w:p>
    <w:p w:rsidR="00000000" w:rsidRPr="000E2232" w:rsidP="000E2232">
      <w:pPr>
        <w:pStyle w:val="AllowPageBreak"/>
      </w:pPr>
    </w:p>
    <w:p w:rsidR="00000000" w:rsidRPr="000E2232" w:rsidP="000E2232">
      <w:pPr>
        <w:pStyle w:val="Heading1"/>
      </w:pPr>
      <w:bookmarkStart w:id="4" w:name="O_1008854"/>
      <w:bookmarkEnd w:id="4"/>
      <w:r w:rsidRPr="000E2232">
        <w:t>Assessment Conditions</w:t>
      </w:r>
    </w:p>
    <w:p w:rsidR="00000000" w:rsidRPr="000E2232" w:rsidP="0099199C">
      <w:pPr>
        <w:pStyle w:val="BodyText"/>
      </w:pPr>
      <w:r w:rsidRPr="000E2232">
        <w:t xml:space="preserve">Assessors must satisfy the requirements for assessors contained in the Standards for Registered Training Organisations (RTOs).  All individuals engaged </w:t>
      </w:r>
      <w:r w:rsidRPr="000E2232">
        <w:t>by a licensed RTO for security licensing purposes must hold both a security trainer’s licence (where such a licence exists within the relevant jurisdiction) and a security operative licence that authorises the security activities about which the individual</w:t>
      </w:r>
      <w:r w:rsidRPr="000E2232">
        <w:t xml:space="preserve"> is training/assessing.  Regulators may impose other assessor conditions to meet jurisdictional assessment requirements.</w:t>
      </w:r>
    </w:p>
    <w:p w:rsidR="00000000" w:rsidRPr="000E2232" w:rsidP="0099199C">
      <w:pPr>
        <w:pStyle w:val="BodyText"/>
      </w:pPr>
      <w:r w:rsidRPr="000E2232">
        <w:t>Assessment of performance must be undertaken in a simulated workplace environment. Tasks are to be performed to the level of proficienc</w:t>
      </w:r>
      <w:r w:rsidRPr="000E2232">
        <w:t>y and within the time limits that would be expected in a workplace.</w:t>
      </w:r>
    </w:p>
    <w:p w:rsidR="00000000" w:rsidRPr="000E2232" w:rsidP="0099199C">
      <w:pPr>
        <w:pStyle w:val="BodyText"/>
      </w:pPr>
      <w:r w:rsidRPr="000E2232">
        <w:t xml:space="preserve">The assessment of performance evidence must be done by direct observation of the learner by an assessor, either by an assessor observing the learner physically or by an assessor observing </w:t>
      </w:r>
      <w:r w:rsidRPr="000E2232">
        <w:t>the learner via audio and visual media.</w:t>
      </w:r>
    </w:p>
    <w:p w:rsidR="00000000" w:rsidRPr="000E2232" w:rsidP="0099199C">
      <w:pPr>
        <w:pStyle w:val="BodyText"/>
      </w:pPr>
      <w:r w:rsidRPr="000E2232">
        <w:t xml:space="preserve">Assessment of performance evidence is only valid where the learner has been assessed performing the role of a security officer. </w:t>
      </w:r>
    </w:p>
    <w:p w:rsidR="00000000" w:rsidRPr="000E2232" w:rsidP="0099199C">
      <w:pPr>
        <w:pStyle w:val="BodyText"/>
      </w:pPr>
      <w:r w:rsidRPr="000E2232">
        <w:t>Assessors are responsible for ensuring that the person demonstrating competency has acc</w:t>
      </w:r>
      <w:r w:rsidRPr="000E2232">
        <w:t>ess to:</w:t>
      </w:r>
    </w:p>
    <w:p w:rsidR="00000000" w:rsidRPr="000E2232" w:rsidP="000E2232">
      <w:pPr>
        <w:pStyle w:val="ListBullet"/>
      </w:pPr>
      <w:r w:rsidRPr="000E2232">
        <w:t>specifications of assessment tasks to monitor and control the access and exit of people and vehicles from premises</w:t>
      </w:r>
    </w:p>
    <w:p w:rsidR="00000000" w:rsidRPr="000E2232" w:rsidP="000E2232">
      <w:pPr>
        <w:pStyle w:val="ListBullet"/>
      </w:pPr>
      <w:r w:rsidRPr="000E2232">
        <w:t>appropriate documents, materials, equipment and personal protective equipment (PPE) currently used in industry</w:t>
      </w:r>
    </w:p>
    <w:p w:rsidR="00000000" w:rsidRPr="000E2232" w:rsidP="000E2232">
      <w:pPr>
        <w:pStyle w:val="ListBullet"/>
      </w:pPr>
      <w:r w:rsidRPr="000E2232">
        <w:t>standard operating pr</w:t>
      </w:r>
      <w:r w:rsidRPr="000E2232">
        <w:t>ocedures and workplace policies related to the security work role and which specify requirements for complying with industry legislation and regulations.</w:t>
      </w:r>
    </w:p>
    <w:p w:rsidR="00000000" w:rsidRPr="000E2232" w:rsidP="000E2232">
      <w:pPr>
        <w:pStyle w:val="AllowPageBreak"/>
      </w:pPr>
    </w:p>
    <w:p w:rsidR="00000000" w:rsidRPr="000E2232" w:rsidP="000E2232">
      <w:pPr>
        <w:pStyle w:val="Heading1"/>
      </w:pPr>
      <w:bookmarkStart w:id="5" w:name="O_1008852"/>
      <w:bookmarkEnd w:id="5"/>
      <w:r w:rsidRPr="000E2232">
        <w:t>Links</w:t>
      </w:r>
    </w:p>
    <w:p w:rsidR="00000000" w:rsidRPr="000E2232" w:rsidP="0099199C">
      <w:pPr>
        <w:pStyle w:val="BodyText"/>
      </w:pPr>
      <w:r w:rsidRPr="000E2232">
        <w:t>Companion volumes to this training package are available at the VETNet websit</w:t>
      </w:r>
      <w:r w:rsidRPr="000E2232">
        <w:t xml:space="preserve">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71C5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E2232" w:rsidP="000E2232"/>
    <w:sectPr w:rsidSect="000E22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2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232" w:rsidRPr="0099199C" w:rsidP="009919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2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99C" w:rsidP="000E22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199C" w:rsidP="000E22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9199C" w:rsidP="000E22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2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9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2232" w:rsidRPr="0099199C" w:rsidP="009919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2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99C" w:rsidRPr="002D2AF8" w:rsidP="000E22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CPPSEC2109 Monitor and control access and exit of persons and vehicles from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9199C" w:rsidP="000E22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68F2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9002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EC27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2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2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2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2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2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2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2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2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2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2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2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232"/>
  </w:style>
  <w:style w:type="character" w:customStyle="1" w:styleId="Heading1Char">
    <w:name w:val="Heading 1 Char"/>
    <w:basedOn w:val="DefaultParagraphFont"/>
    <w:link w:val="Heading1"/>
    <w:rsid w:val="000E22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22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2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22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22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2232"/>
    <w:rPr>
      <w:i/>
    </w:rPr>
  </w:style>
  <w:style w:type="paragraph" w:customStyle="1" w:styleId="SuperHeading">
    <w:name w:val="SuperHeading"/>
    <w:basedOn w:val="Normal"/>
    <w:rsid w:val="000E22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2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22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2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2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2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2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2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2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2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2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2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2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2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2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2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22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22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2232"/>
    <w:rPr>
      <w:b/>
      <w:spacing w:val="0"/>
    </w:rPr>
  </w:style>
  <w:style w:type="paragraph" w:customStyle="1" w:styleId="SuperTitle">
    <w:name w:val="SuperTitle"/>
    <w:basedOn w:val="Title"/>
    <w:rsid w:val="000E22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2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2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22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2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2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2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2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2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2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2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2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22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2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2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232"/>
  </w:style>
  <w:style w:type="paragraph" w:styleId="TableofFigures">
    <w:name w:val="table of figures"/>
    <w:basedOn w:val="Normal"/>
    <w:next w:val="Normal"/>
    <w:semiHidden/>
    <w:rsid w:val="000E22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2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2232"/>
    <w:rPr>
      <w:rFonts w:ascii="Wingdings" w:hAnsi="Wingdings"/>
    </w:rPr>
  </w:style>
  <w:style w:type="paragraph" w:customStyle="1" w:styleId="TableHeading">
    <w:name w:val="Table Heading"/>
    <w:basedOn w:val="HeadingBase"/>
    <w:rsid w:val="000E22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232"/>
    <w:rPr>
      <w:color w:val="0033CC"/>
      <w:u w:val="none"/>
    </w:rPr>
  </w:style>
  <w:style w:type="paragraph" w:customStyle="1" w:styleId="BodyTextRight">
    <w:name w:val="Body Text Right"/>
    <w:basedOn w:val="BodyText"/>
    <w:rsid w:val="000E22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2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2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2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2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2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232"/>
    <w:rPr>
      <w:sz w:val="32"/>
    </w:rPr>
  </w:style>
  <w:style w:type="paragraph" w:customStyle="1" w:styleId="HeadingProcedure">
    <w:name w:val="Heading Procedure"/>
    <w:basedOn w:val="HeadingBase"/>
    <w:next w:val="Normal"/>
    <w:rsid w:val="000E22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232"/>
    <w:pPr>
      <w:spacing w:before="60" w:after="60"/>
    </w:pPr>
  </w:style>
  <w:style w:type="paragraph" w:styleId="ListContinue">
    <w:name w:val="List Continue"/>
    <w:basedOn w:val="List"/>
    <w:rsid w:val="000E2232"/>
    <w:pPr>
      <w:ind w:firstLine="0"/>
    </w:pPr>
  </w:style>
  <w:style w:type="paragraph" w:customStyle="1" w:styleId="ListNote">
    <w:name w:val="List Note"/>
    <w:basedOn w:val="List"/>
    <w:rsid w:val="000E22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2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2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232"/>
    <w:rPr>
      <w:rFonts w:ascii="Courier New" w:hAnsi="Courier New"/>
    </w:rPr>
  </w:style>
  <w:style w:type="paragraph" w:customStyle="1" w:styleId="NoteBullet">
    <w:name w:val="Note Bullet"/>
    <w:basedOn w:val="Note"/>
    <w:rsid w:val="000E22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2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2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2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2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22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2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232"/>
    <w:rPr>
      <w:b/>
      <w:smallCaps/>
    </w:rPr>
  </w:style>
  <w:style w:type="paragraph" w:customStyle="1" w:styleId="TableListNumber">
    <w:name w:val="Table List Number"/>
    <w:basedOn w:val="ListNumber"/>
    <w:rsid w:val="000E22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2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232"/>
    <w:pPr>
      <w:numPr>
        <w:numId w:val="9"/>
      </w:numPr>
    </w:pPr>
  </w:style>
  <w:style w:type="paragraph" w:customStyle="1" w:styleId="ListAlpha2">
    <w:name w:val="List Alpha 2"/>
    <w:basedOn w:val="List2"/>
    <w:rsid w:val="000E2232"/>
    <w:pPr>
      <w:numPr>
        <w:numId w:val="8"/>
      </w:numPr>
    </w:pPr>
  </w:style>
  <w:style w:type="paragraph" w:styleId="List2">
    <w:name w:val="List 2"/>
    <w:basedOn w:val="BodyText"/>
    <w:rsid w:val="000E22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2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2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2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22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2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2232"/>
    <w:pPr>
      <w:numPr>
        <w:numId w:val="4"/>
      </w:numPr>
    </w:pPr>
  </w:style>
  <w:style w:type="paragraph" w:styleId="ListContinue2">
    <w:name w:val="List Continue 2"/>
    <w:basedOn w:val="List2"/>
    <w:rsid w:val="000E2232"/>
    <w:pPr>
      <w:ind w:firstLine="0"/>
    </w:pPr>
  </w:style>
  <w:style w:type="paragraph" w:styleId="ListContinue3">
    <w:name w:val="List Continue 3"/>
    <w:basedOn w:val="List3"/>
    <w:rsid w:val="000E2232"/>
    <w:pPr>
      <w:ind w:left="1021" w:firstLine="0"/>
    </w:pPr>
  </w:style>
  <w:style w:type="paragraph" w:styleId="ListContinue4">
    <w:name w:val="List Continue 4"/>
    <w:basedOn w:val="List4"/>
    <w:rsid w:val="000E2232"/>
    <w:pPr>
      <w:ind w:firstLine="0"/>
    </w:pPr>
  </w:style>
  <w:style w:type="paragraph" w:styleId="ListContinue5">
    <w:name w:val="List Continue 5"/>
    <w:basedOn w:val="List5"/>
    <w:rsid w:val="000E2232"/>
    <w:pPr>
      <w:ind w:firstLine="0"/>
    </w:pPr>
  </w:style>
  <w:style w:type="paragraph" w:styleId="ListNumber3">
    <w:name w:val="List Number 3"/>
    <w:basedOn w:val="List3"/>
    <w:rsid w:val="000E2232"/>
    <w:pPr>
      <w:numPr>
        <w:numId w:val="5"/>
      </w:numPr>
    </w:pPr>
  </w:style>
  <w:style w:type="paragraph" w:styleId="ListNumber4">
    <w:name w:val="List Number 4"/>
    <w:basedOn w:val="List4"/>
    <w:rsid w:val="000E2232"/>
    <w:pPr>
      <w:numPr>
        <w:numId w:val="6"/>
      </w:numPr>
    </w:pPr>
  </w:style>
  <w:style w:type="paragraph" w:styleId="ListNumber5">
    <w:name w:val="List Number 5"/>
    <w:basedOn w:val="List5"/>
    <w:rsid w:val="000E2232"/>
    <w:pPr>
      <w:numPr>
        <w:numId w:val="7"/>
      </w:numPr>
    </w:pPr>
  </w:style>
  <w:style w:type="paragraph" w:styleId="BlockText">
    <w:name w:val="Block Text"/>
    <w:basedOn w:val="Normal"/>
    <w:rsid w:val="000E22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2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232"/>
    <w:rPr>
      <w:sz w:val="16"/>
      <w:vertAlign w:val="superscript"/>
    </w:rPr>
  </w:style>
  <w:style w:type="character" w:customStyle="1" w:styleId="Symbols">
    <w:name w:val="Symbols"/>
    <w:basedOn w:val="DefaultParagraphFont"/>
    <w:rsid w:val="000E2232"/>
    <w:rPr>
      <w:rFonts w:ascii="Symbol" w:hAnsi="Symbol"/>
    </w:rPr>
  </w:style>
  <w:style w:type="character" w:customStyle="1" w:styleId="MenuOptions">
    <w:name w:val="Menu Options"/>
    <w:basedOn w:val="DefaultParagraphFont"/>
    <w:rsid w:val="000E22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232"/>
    <w:rPr>
      <w:b/>
    </w:rPr>
  </w:style>
  <w:style w:type="character" w:customStyle="1" w:styleId="Underlined">
    <w:name w:val="Underlined"/>
    <w:basedOn w:val="DefaultParagraphFont"/>
    <w:rsid w:val="000E2232"/>
    <w:rPr>
      <w:u w:val="single"/>
    </w:rPr>
  </w:style>
  <w:style w:type="paragraph" w:customStyle="1" w:styleId="TableBodyTextRight">
    <w:name w:val="Table Body Text Right"/>
    <w:basedOn w:val="TableBodyText"/>
    <w:rsid w:val="000E22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232"/>
    <w:rPr>
      <w:sz w:val="18"/>
    </w:rPr>
  </w:style>
  <w:style w:type="paragraph" w:customStyle="1" w:styleId="BodySmallRight">
    <w:name w:val="Body Small Right"/>
    <w:basedOn w:val="BodyTextRight"/>
    <w:rsid w:val="000E2232"/>
    <w:rPr>
      <w:sz w:val="18"/>
      <w:szCs w:val="18"/>
    </w:rPr>
  </w:style>
  <w:style w:type="paragraph" w:customStyle="1" w:styleId="MarginEdition">
    <w:name w:val="Margin Edition"/>
    <w:basedOn w:val="MarginNote"/>
    <w:rsid w:val="000E22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232"/>
    <w:rPr>
      <w:sz w:val="2"/>
      <w:szCs w:val="2"/>
    </w:rPr>
  </w:style>
  <w:style w:type="character" w:customStyle="1" w:styleId="Small">
    <w:name w:val="Small"/>
    <w:basedOn w:val="DefaultParagraphFont"/>
    <w:rsid w:val="000E2232"/>
    <w:rPr>
      <w:sz w:val="16"/>
    </w:rPr>
  </w:style>
  <w:style w:type="paragraph" w:customStyle="1" w:styleId="WideTable">
    <w:name w:val="Wide Table"/>
    <w:basedOn w:val="Normal"/>
    <w:rsid w:val="000E22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232"/>
  </w:style>
  <w:style w:type="paragraph" w:styleId="Quote">
    <w:name w:val="Quote"/>
    <w:basedOn w:val="Heading1"/>
    <w:link w:val="QuoteChar"/>
    <w:qFormat/>
    <w:rsid w:val="000E22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2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232"/>
    <w:pPr>
      <w:pageBreakBefore/>
    </w:pPr>
  </w:style>
  <w:style w:type="paragraph" w:customStyle="1" w:styleId="Border">
    <w:name w:val="Border"/>
    <w:basedOn w:val="Normal"/>
    <w:qFormat/>
    <w:rsid w:val="000E22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2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2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2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2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2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2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2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2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232"/>
    <w:rPr>
      <w:u w:val="single"/>
    </w:rPr>
  </w:style>
  <w:style w:type="character" w:customStyle="1" w:styleId="BoldandItalics">
    <w:name w:val="Bold and Italics"/>
    <w:qFormat/>
    <w:rsid w:val="000E2232"/>
    <w:rPr>
      <w:b/>
      <w:i/>
      <w:u w:val="none"/>
    </w:rPr>
  </w:style>
  <w:style w:type="paragraph" w:styleId="BalloonText">
    <w:name w:val="Balloon Text"/>
    <w:basedOn w:val="Normal"/>
    <w:link w:val="BalloonTextChar"/>
    <w:rsid w:val="000E22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2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2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2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2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2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2232"/>
    <w:pPr>
      <w:spacing w:before="0" w:after="0"/>
    </w:pPr>
  </w:style>
  <w:style w:type="paragraph" w:customStyle="1" w:styleId="BodyTextBold">
    <w:name w:val="Body Text Bold"/>
    <w:basedOn w:val="BodyText"/>
    <w:qFormat/>
    <w:rsid w:val="000E2232"/>
    <w:rPr>
      <w:b/>
    </w:rPr>
  </w:style>
  <w:style w:type="character" w:styleId="Hyperlink">
    <w:name w:val="Hyperlink"/>
    <w:basedOn w:val="DefaultParagraphFont"/>
    <w:uiPriority w:val="99"/>
    <w:unhideWhenUsed/>
    <w:rsid w:val="009919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4457</Characters>
  <Application>Microsoft Office Word</Application>
  <DocSecurity>0</DocSecurity>
  <Lines>103</Lines>
  <Paragraphs>82</Paragraphs>
  <ScaleCrop>false</ScaleCrop>
  <Company>Author-it Software Corporation Ltd.</Company>
  <LinksUpToDate>false</LinksUpToDate>
  <CharactersWithSpaces>5099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CPPSEC2109 Monitor and control access and exit of persons and vehicles from premises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2023-03-02T05:17:00Z</dcterms:created>
  <dcterms:modified xsi:type="dcterms:W3CDTF">2023-03-02T05:17:00Z</dcterms:modified>
</cp:coreProperties>
</file>