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C5B" w:rsidP="00F71C5B">
      <w:pPr>
        <w:pStyle w:val="Title"/>
      </w:pPr>
      <w:r>
        <w:fldChar w:fldCharType="begin"/>
      </w:r>
      <w:r>
        <w:instrText xml:space="preserve"> TITLE   \* MERGEFORMAT </w:instrText>
      </w:r>
      <w:r>
        <w:fldChar w:fldCharType="separate"/>
      </w:r>
      <w:r>
        <w:t>Assessment Requirements for CPPSEC2104 Apply risk assessment to select and carry out response to security risk situations</w:t>
      </w:r>
      <w:r>
        <w:fldChar w:fldCharType="end"/>
      </w:r>
    </w:p>
    <w:p w:rsidR="00F71C5B" w:rsidP="00F71C5B">
      <w:pPr>
        <w:pStyle w:val="Version"/>
        <w:sectPr w:rsidSect="00B83F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3FAA" w:rsidP="00B83FAA">
      <w:pPr>
        <w:pStyle w:val="SuperHeading"/>
      </w:pPr>
      <w:r w:rsidRPr="00B83FAA">
        <w:t>Assessment Requirements for CPPSEC2104 Apply risk assessment to select and carry out response to security risk situations</w:t>
      </w:r>
    </w:p>
    <w:p w:rsidR="00000000" w:rsidRPr="00B83FAA" w:rsidP="00B83FAA">
      <w:pPr>
        <w:pStyle w:val="Heading1"/>
      </w:pPr>
      <w:bookmarkStart w:id="1" w:name="O_1021816"/>
      <w:bookmarkEnd w:id="1"/>
      <w:r w:rsidRPr="00B83FAA">
        <w:t>Modification History</w:t>
      </w:r>
    </w:p>
    <w:tbl>
      <w:tblPr>
        <w:tblW w:w="0" w:type="auto"/>
        <w:tblLayout w:type="fixed"/>
        <w:tblCellMar>
          <w:left w:w="62" w:type="dxa"/>
          <w:right w:w="62" w:type="dxa"/>
        </w:tblCellMar>
        <w:tblLook w:val="0000"/>
      </w:tblPr>
      <w:tblGrid>
        <w:gridCol w:w="1128"/>
        <w:gridCol w:w="7944"/>
      </w:tblGrid>
      <w:tr w:rsidTr="00B83FA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3FAA">
            <w:pPr>
              <w:pStyle w:val="BodyText"/>
              <w:rPr>
                <w:lang w:val="en-NZ"/>
              </w:rPr>
            </w:pPr>
            <w:r w:rsidRPr="00B83FAA">
              <w:t>Release 1</w:t>
            </w:r>
          </w:p>
        </w:tc>
        <w:tc>
          <w:tcPr>
            <w:tcW w:w="7944" w:type="dxa"/>
            <w:tcBorders>
              <w:top w:val="nil"/>
              <w:left w:val="nil"/>
              <w:bottom w:val="nil"/>
              <w:right w:val="nil"/>
            </w:tcBorders>
            <w:tcMar>
              <w:top w:w="0" w:type="dxa"/>
              <w:left w:w="62" w:type="dxa"/>
              <w:bottom w:w="0" w:type="dxa"/>
              <w:right w:w="62" w:type="dxa"/>
            </w:tcMar>
          </w:tcPr>
          <w:p w:rsidR="00000000" w:rsidRPr="00B83FAA" w:rsidP="00B83FAA">
            <w:pPr>
              <w:pStyle w:val="BodyText"/>
            </w:pPr>
            <w:r w:rsidRPr="00B83FAA">
              <w:t>This version first released with CPP Property Services Training Package Release 7.0.</w:t>
            </w:r>
          </w:p>
          <w:p w:rsidR="00000000" w:rsidRPr="00B83FAA" w:rsidP="00B83FAA">
            <w:pPr>
              <w:pStyle w:val="BodyText"/>
            </w:pPr>
            <w:r w:rsidRPr="00B83FAA">
              <w:t>Supersedes and is equivalent to CPPSEC2004B Respond to security risk situation.</w:t>
            </w:r>
          </w:p>
          <w:p w:rsidR="00000000" w:rsidP="00B83FAA">
            <w:pPr>
              <w:pStyle w:val="BodyText"/>
              <w:rPr>
                <w:lang w:val="en-NZ"/>
              </w:rPr>
            </w:pPr>
            <w:r w:rsidRPr="00B83FAA">
              <w:t>Updated to meet the Standards for Training Packages.</w:t>
            </w:r>
          </w:p>
        </w:tc>
      </w:tr>
      <w:tr w:rsidTr="00B83FA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3FAA">
            <w:pPr>
              <w:pStyle w:val="BodyText"/>
              <w:rPr>
                <w:lang w:val="en-NZ"/>
              </w:rPr>
            </w:pPr>
            <w:r w:rsidRPr="00B83FAA">
              <w:t>Release 2</w:t>
            </w:r>
          </w:p>
        </w:tc>
        <w:tc>
          <w:tcPr>
            <w:tcW w:w="7944" w:type="dxa"/>
            <w:tcBorders>
              <w:top w:val="nil"/>
              <w:left w:val="nil"/>
              <w:bottom w:val="nil"/>
              <w:right w:val="nil"/>
            </w:tcBorders>
            <w:tcMar>
              <w:top w:w="0" w:type="dxa"/>
              <w:left w:w="62" w:type="dxa"/>
              <w:bottom w:w="0" w:type="dxa"/>
              <w:right w:w="62" w:type="dxa"/>
            </w:tcMar>
          </w:tcPr>
          <w:p w:rsidR="00000000" w:rsidRPr="00B83FAA" w:rsidP="00B83FAA">
            <w:pPr>
              <w:pStyle w:val="BodyText"/>
            </w:pPr>
            <w:r w:rsidRPr="00B83FAA">
              <w:t>This version first released with CPP Property Services Training Package Release 7.1.</w:t>
            </w:r>
          </w:p>
          <w:p w:rsidR="00000000" w:rsidRPr="00B83FAA" w:rsidP="00B83FAA">
            <w:pPr>
              <w:pStyle w:val="BodyText"/>
            </w:pPr>
            <w:r w:rsidRPr="00B83FAA">
              <w:t>Supersedes and is equivale</w:t>
            </w:r>
            <w:r w:rsidRPr="00B83FAA">
              <w:t>nt to CPPSEC1001A Identify and report security risk situations.</w:t>
            </w:r>
          </w:p>
        </w:tc>
      </w:tr>
    </w:tbl>
    <w:p w:rsidR="00000000" w:rsidRPr="00B83FAA" w:rsidP="00B83FAA">
      <w:pPr>
        <w:pStyle w:val="BodyText"/>
      </w:pPr>
    </w:p>
    <w:p w:rsidR="00000000" w:rsidRPr="00B83FAA" w:rsidP="00B83FAA">
      <w:pPr>
        <w:pStyle w:val="AllowPageBreak"/>
      </w:pPr>
    </w:p>
    <w:p w:rsidR="00000000" w:rsidRPr="00B83FAA" w:rsidP="00B83FAA">
      <w:pPr>
        <w:pStyle w:val="Heading1"/>
      </w:pPr>
      <w:bookmarkStart w:id="2" w:name="O_1021815"/>
      <w:bookmarkEnd w:id="2"/>
      <w:r w:rsidRPr="00B83FAA">
        <w:t>Performance Evidence</w:t>
      </w:r>
    </w:p>
    <w:p w:rsidR="00000000" w:rsidRPr="00B83FAA" w:rsidP="00F71C5B">
      <w:pPr>
        <w:pStyle w:val="BodyText"/>
      </w:pPr>
      <w:r w:rsidRPr="00B83FAA">
        <w:t>To demonstrate competency in this unit, a person must apply risk assessment to select and carry out appropriate responses to two different security ri</w:t>
      </w:r>
      <w:r w:rsidRPr="00B83FAA">
        <w:t>sk situations:</w:t>
      </w:r>
    </w:p>
    <w:p w:rsidR="00000000" w:rsidRPr="00B83FAA" w:rsidP="00B83FAA">
      <w:pPr>
        <w:pStyle w:val="ListBullet"/>
      </w:pPr>
      <w:r w:rsidRPr="00B83FAA">
        <w:t>one risk situation involving a suspicious package in a public area</w:t>
      </w:r>
    </w:p>
    <w:p w:rsidR="00000000" w:rsidRPr="00B83FAA" w:rsidP="00B83FAA">
      <w:pPr>
        <w:pStyle w:val="ListBullet"/>
      </w:pPr>
      <w:r w:rsidRPr="00B83FAA">
        <w:t>one risk situation involving a person behaving in an aggressive and threatening manner.</w:t>
      </w:r>
    </w:p>
    <w:p w:rsidR="00F71C5B" w:rsidP="00F71C5B">
      <w:pPr>
        <w:pStyle w:val="BodyText"/>
      </w:pPr>
      <w:r w:rsidRPr="00B83FAA">
        <w:t>In doing this, the person must meet the performance criteria for this unit.</w:t>
      </w:r>
    </w:p>
    <w:p w:rsidR="00000000" w:rsidRPr="00B83FAA" w:rsidP="00B83FAA">
      <w:pPr>
        <w:pStyle w:val="Heading1"/>
      </w:pPr>
      <w:bookmarkStart w:id="3" w:name="O_1021814"/>
      <w:bookmarkEnd w:id="3"/>
      <w:r w:rsidRPr="00B83FAA">
        <w:t>Knowledge Evidence</w:t>
      </w:r>
    </w:p>
    <w:p w:rsidR="00000000" w:rsidRPr="00B83FAA" w:rsidP="00F71C5B">
      <w:pPr>
        <w:pStyle w:val="BodyText"/>
      </w:pPr>
      <w:r w:rsidRPr="00B83FAA">
        <w:t>To be competent in this unit, a person must demonstrate knowledge of:</w:t>
      </w:r>
    </w:p>
    <w:p w:rsidR="00000000" w:rsidRPr="00B83FAA" w:rsidP="00B83FAA">
      <w:pPr>
        <w:pStyle w:val="ListBullet"/>
      </w:pPr>
      <w:r w:rsidRPr="00B83FAA">
        <w:t>standard operating procedures and workplace policies that ensure compliance with legislative and regulatory requirements when selecting and carrying</w:t>
      </w:r>
      <w:r w:rsidRPr="00B83FAA">
        <w:t xml:space="preserve"> out responses to security risk situations:</w:t>
      </w:r>
    </w:p>
    <w:p w:rsidR="00000000" w:rsidRPr="00B83FAA" w:rsidP="00B83FAA">
      <w:pPr>
        <w:pStyle w:val="ListBullet2"/>
      </w:pPr>
      <w:r w:rsidRPr="00B83FAA">
        <w:t>apprehension, arrest and restraint of persons</w:t>
      </w:r>
    </w:p>
    <w:p w:rsidR="00000000" w:rsidRPr="00B83FAA" w:rsidP="00B83FAA">
      <w:pPr>
        <w:pStyle w:val="ListBullet2"/>
      </w:pPr>
      <w:r w:rsidRPr="00B83FAA">
        <w:t>counter terrorism</w:t>
      </w:r>
    </w:p>
    <w:p w:rsidR="00000000" w:rsidRPr="00B83FAA" w:rsidP="00B83FAA">
      <w:pPr>
        <w:pStyle w:val="ListBullet2"/>
      </w:pPr>
      <w:r w:rsidRPr="00B83FAA">
        <w:t>duty of care</w:t>
      </w:r>
    </w:p>
    <w:p w:rsidR="00000000" w:rsidRPr="00B83FAA" w:rsidP="00B83FAA">
      <w:pPr>
        <w:pStyle w:val="ListBullet2"/>
      </w:pPr>
      <w:r w:rsidRPr="00B83FAA">
        <w:t>licensing requirements and limits of own authority</w:t>
      </w:r>
    </w:p>
    <w:p w:rsidR="00000000" w:rsidRPr="00B83FAA" w:rsidP="00B83FAA">
      <w:pPr>
        <w:pStyle w:val="ListBullet2"/>
      </w:pPr>
      <w:r w:rsidRPr="00B83FAA">
        <w:t>use of force</w:t>
      </w:r>
    </w:p>
    <w:p w:rsidR="00000000" w:rsidRPr="00B83FAA" w:rsidP="00B83FAA">
      <w:pPr>
        <w:pStyle w:val="ListBullet2"/>
      </w:pPr>
      <w:r w:rsidRPr="00B83FAA">
        <w:t>use of self-defence techniques</w:t>
      </w:r>
    </w:p>
    <w:p w:rsidR="00000000" w:rsidRPr="00B83FAA" w:rsidP="00B83FAA">
      <w:pPr>
        <w:pStyle w:val="ListBullet2"/>
      </w:pPr>
      <w:r w:rsidRPr="00B83FAA">
        <w:t>workplace health and safety (WHS)</w:t>
      </w:r>
    </w:p>
    <w:p w:rsidR="00000000" w:rsidRPr="00B83FAA" w:rsidP="00B83FAA">
      <w:pPr>
        <w:pStyle w:val="ListBullet"/>
      </w:pPr>
      <w:r w:rsidRPr="00B83FAA">
        <w:t>approved communication terminology, call signs and radio channels used in the security industry</w:t>
      </w:r>
    </w:p>
    <w:p w:rsidR="00000000" w:rsidRPr="00B83FAA" w:rsidP="00B83FAA">
      <w:pPr>
        <w:pStyle w:val="ListBullet"/>
      </w:pPr>
      <w:r w:rsidRPr="00B83FAA">
        <w:t>approved security response options</w:t>
      </w:r>
    </w:p>
    <w:p w:rsidR="00000000" w:rsidRPr="00B83FAA" w:rsidP="00B83FAA">
      <w:pPr>
        <w:pStyle w:val="ListBullet"/>
      </w:pPr>
      <w:r w:rsidRPr="00B83FAA">
        <w:t>basic understanding of the force model</w:t>
      </w:r>
    </w:p>
    <w:p w:rsidR="00000000" w:rsidRPr="00B83FAA" w:rsidP="00B83FAA">
      <w:pPr>
        <w:pStyle w:val="ListBullet"/>
      </w:pPr>
      <w:r w:rsidRPr="00B83FAA">
        <w:t>current national terrorism threat level and context</w:t>
      </w:r>
    </w:p>
    <w:p w:rsidR="00000000" w:rsidRPr="00B83FAA" w:rsidP="00B83FAA">
      <w:pPr>
        <w:pStyle w:val="ListBullet"/>
      </w:pPr>
      <w:r w:rsidRPr="00B83FAA">
        <w:t>methods and reasons for securing a</w:t>
      </w:r>
      <w:r w:rsidRPr="00B83FAA">
        <w:t>nd preserving an incident or crime scene</w:t>
      </w:r>
    </w:p>
    <w:p w:rsidR="00000000" w:rsidRPr="00B83FAA" w:rsidP="00B83FAA">
      <w:pPr>
        <w:pStyle w:val="ListBullet"/>
      </w:pPr>
      <w:r w:rsidRPr="00B83FAA">
        <w:t>methods for preserving, maintaining, storing and transporting evidence and exhibits that may be used in court</w:t>
      </w:r>
    </w:p>
    <w:p w:rsidR="00000000" w:rsidRPr="00B83FAA" w:rsidP="00B83FAA">
      <w:pPr>
        <w:pStyle w:val="ListBullet"/>
      </w:pPr>
      <w:r w:rsidRPr="00B83FAA">
        <w:t>potential adverse health effects arising from the use of force or physical restraint including positional</w:t>
      </w:r>
      <w:r w:rsidRPr="00B83FAA">
        <w:t xml:space="preserve"> asphyxia</w:t>
      </w:r>
    </w:p>
    <w:p w:rsidR="00000000" w:rsidRPr="00B83FAA" w:rsidP="00B83FAA">
      <w:pPr>
        <w:pStyle w:val="ListBullet"/>
      </w:pPr>
      <w:r w:rsidRPr="00B83FAA">
        <w:t>procedures for communicating and collaborating with emergency services personnel</w:t>
      </w:r>
    </w:p>
    <w:p w:rsidR="00000000" w:rsidRPr="00B83FAA" w:rsidP="00B83FAA">
      <w:pPr>
        <w:pStyle w:val="ListBullet"/>
      </w:pPr>
      <w:r w:rsidRPr="00B83FAA">
        <w:t>process of dynamic risk assessment and how it is applied</w:t>
      </w:r>
    </w:p>
    <w:p w:rsidR="00000000" w:rsidRPr="00B83FAA" w:rsidP="00B83FAA">
      <w:pPr>
        <w:pStyle w:val="ListBullet"/>
      </w:pPr>
      <w:r w:rsidRPr="00B83FAA">
        <w:t>purpose of Australia</w:t>
      </w:r>
      <w:r>
        <w:t>’</w:t>
      </w:r>
      <w:r w:rsidRPr="00B83FAA">
        <w:t xml:space="preserve">s </w:t>
      </w:r>
      <w:r w:rsidRPr="00B83FAA">
        <w:rPr>
          <w:rStyle w:val="Emphasis"/>
        </w:rPr>
        <w:t>Strategy for Protecting Crowded Places from Terrorism</w:t>
      </w:r>
      <w:r w:rsidRPr="00B83FAA">
        <w:t xml:space="preserve"> and understanding of:</w:t>
      </w:r>
    </w:p>
    <w:p w:rsidR="00000000" w:rsidRPr="00B83FAA" w:rsidP="00B83FAA">
      <w:pPr>
        <w:pStyle w:val="ListBullet2"/>
      </w:pPr>
      <w:r w:rsidRPr="00B83FAA">
        <w:t>definiti</w:t>
      </w:r>
      <w:r w:rsidRPr="00B83FAA">
        <w:t>on of crowded places</w:t>
      </w:r>
    </w:p>
    <w:p w:rsidR="00000000" w:rsidRPr="00B83FAA" w:rsidP="00B83FAA">
      <w:pPr>
        <w:pStyle w:val="ListBullet2"/>
      </w:pPr>
      <w:r w:rsidRPr="00B83FAA">
        <w:t>key security issues for crowded places</w:t>
      </w:r>
    </w:p>
    <w:p w:rsidR="00000000" w:rsidRPr="00B83FAA" w:rsidP="00B83FAA">
      <w:pPr>
        <w:pStyle w:val="ListBullet2"/>
      </w:pPr>
      <w:r w:rsidRPr="00B83FAA">
        <w:t>objectives, characteristics and identification of active armed offenders</w:t>
      </w:r>
    </w:p>
    <w:p w:rsidR="00000000" w:rsidRPr="00B83FAA" w:rsidP="00B83FAA">
      <w:pPr>
        <w:pStyle w:val="ListBullet2"/>
      </w:pPr>
      <w:r w:rsidRPr="00B83FAA">
        <w:t>definition of hostile vehicles and methods of attack</w:t>
      </w:r>
    </w:p>
    <w:p w:rsidR="00000000" w:rsidRPr="00B83FAA" w:rsidP="00B83FAA">
      <w:pPr>
        <w:pStyle w:val="ListBullet2"/>
      </w:pPr>
      <w:r w:rsidRPr="00B83FAA">
        <w:t>signs of chemical weapons attack and recommended response</w:t>
      </w:r>
    </w:p>
    <w:p w:rsidR="00000000" w:rsidRPr="00B83FAA" w:rsidP="00B83FAA">
      <w:pPr>
        <w:pStyle w:val="ListBullet2"/>
      </w:pPr>
      <w:r w:rsidRPr="00B83FAA">
        <w:t>general features of improvised explosive devices and recommended incident response</w:t>
      </w:r>
    </w:p>
    <w:p w:rsidR="00000000" w:rsidRPr="00B83FAA" w:rsidP="00B83FAA">
      <w:pPr>
        <w:pStyle w:val="ListBullet"/>
      </w:pPr>
      <w:r w:rsidRPr="00B83FAA">
        <w:t>signs and indicators of stress</w:t>
      </w:r>
    </w:p>
    <w:p w:rsidR="00000000" w:rsidRPr="00B83FAA" w:rsidP="00B83FAA">
      <w:pPr>
        <w:pStyle w:val="ListBullet"/>
      </w:pPr>
      <w:r w:rsidRPr="00B83FAA">
        <w:t>signs of possible harassment or assault</w:t>
      </w:r>
    </w:p>
    <w:p w:rsidR="00000000" w:rsidRPr="00B83FAA" w:rsidP="00B83FAA">
      <w:pPr>
        <w:pStyle w:val="ListBullet"/>
      </w:pPr>
      <w:r w:rsidRPr="00B83FAA">
        <w:t>techniques for recognising and controlling own stress</w:t>
      </w:r>
    </w:p>
    <w:p w:rsidR="00000000" w:rsidRPr="00B83FAA" w:rsidP="00B83FAA">
      <w:pPr>
        <w:pStyle w:val="ListBullet"/>
      </w:pPr>
      <w:r w:rsidRPr="00B83FAA">
        <w:t>types of behavioural anomalies and suspect beha</w:t>
      </w:r>
      <w:r w:rsidRPr="00B83FAA">
        <w:t>viours that can indicate criminal activity, hostile reconnaissance or the potential for terrorist activity</w:t>
      </w:r>
    </w:p>
    <w:p w:rsidR="00000000" w:rsidRPr="00B83FAA" w:rsidP="00B83FAA">
      <w:pPr>
        <w:pStyle w:val="ListBullet"/>
      </w:pPr>
      <w:r w:rsidRPr="00B83FAA">
        <w:t>types of behaviours and non-verbal language that can escalate conflict</w:t>
      </w:r>
    </w:p>
    <w:p w:rsidR="00000000" w:rsidRPr="00B83FAA" w:rsidP="00B83FAA">
      <w:pPr>
        <w:pStyle w:val="ListBullet"/>
      </w:pPr>
      <w:r w:rsidRPr="00B83FAA">
        <w:t>types of security risks that may be present in the work environment.</w:t>
      </w:r>
    </w:p>
    <w:p w:rsidR="00000000" w:rsidRPr="00B83FAA" w:rsidP="00B83FAA">
      <w:pPr>
        <w:pStyle w:val="AllowPageBreak"/>
      </w:pPr>
    </w:p>
    <w:p w:rsidR="00000000" w:rsidRPr="00B83FAA" w:rsidP="00B83FAA">
      <w:pPr>
        <w:pStyle w:val="Heading1"/>
      </w:pPr>
      <w:bookmarkStart w:id="4" w:name="O_1021813"/>
      <w:bookmarkEnd w:id="4"/>
      <w:r w:rsidRPr="00B83FAA">
        <w:t>Assessment Conditions</w:t>
      </w:r>
    </w:p>
    <w:p w:rsidR="00000000" w:rsidRPr="00B83FAA" w:rsidP="00F71C5B">
      <w:pPr>
        <w:pStyle w:val="BodyText"/>
      </w:pPr>
      <w:r w:rsidRPr="00B83FAA">
        <w:t>Assessors must satisfy the requirements for assessors contained in the Standards for Registered Training Organisations (RTOs).  All individuals engaged by a licensed RTO for security licensing purposes must hold both a secur</w:t>
      </w:r>
      <w:r w:rsidRPr="00B83FAA">
        <w:t>ity trainer’s licence (where such a licence exists within the relevant jurisdiction) and a security operative licence that authorises the security activities about which the individual is training/assessing.  Regulators may impose other assessor conditions</w:t>
      </w:r>
      <w:r w:rsidRPr="00B83FAA">
        <w:t xml:space="preserve"> to meet jurisdictional assessment requirements.</w:t>
      </w:r>
    </w:p>
    <w:p w:rsidR="00000000" w:rsidRPr="00B83FAA" w:rsidP="00F71C5B">
      <w:pPr>
        <w:pStyle w:val="BodyText"/>
      </w:pPr>
      <w:r w:rsidRPr="00B83FAA">
        <w:t>Assessment of performance must be undertaken in a simulated workplace environment. Tasks are to be performed to the level of proficiency and within the time limits that would be expected in a workplace.</w:t>
      </w:r>
    </w:p>
    <w:p w:rsidR="00000000" w:rsidRPr="00B83FAA" w:rsidP="00F71C5B">
      <w:pPr>
        <w:pStyle w:val="BodyText"/>
      </w:pPr>
      <w:r w:rsidRPr="00B83FAA">
        <w:t xml:space="preserve">The </w:t>
      </w:r>
      <w:r w:rsidRPr="00B83FAA">
        <w:t>assessment of performance evidence must be done by direct observation of the learner by an assessor, either by an assessor observing the learner physically or by an assessor observing the learner via audio and visual media.</w:t>
      </w:r>
    </w:p>
    <w:p w:rsidR="00000000" w:rsidRPr="00B83FAA" w:rsidP="00F71C5B">
      <w:pPr>
        <w:pStyle w:val="BodyText"/>
      </w:pPr>
      <w:r w:rsidRPr="00B83FAA">
        <w:t>Assessment of performance eviden</w:t>
      </w:r>
      <w:r w:rsidRPr="00B83FAA">
        <w:t xml:space="preserve">ce is only valid where the learner has been assessed performing the role of a security officer. </w:t>
      </w:r>
    </w:p>
    <w:p w:rsidR="00000000" w:rsidRPr="00B83FAA" w:rsidP="00F71C5B">
      <w:pPr>
        <w:pStyle w:val="BodyText"/>
      </w:pPr>
      <w:r w:rsidRPr="00B83FAA">
        <w:t>Assessors are responsible for ensuring that the person demonstrating competency has access to:</w:t>
      </w:r>
    </w:p>
    <w:p w:rsidR="00000000" w:rsidRPr="00B83FAA" w:rsidP="00B83FAA">
      <w:pPr>
        <w:pStyle w:val="ListBullet"/>
      </w:pPr>
      <w:r w:rsidRPr="00B83FAA">
        <w:t>specifications of assessment tasks to apply risk assessment to select and carry out response to security risk situations</w:t>
      </w:r>
    </w:p>
    <w:p w:rsidR="00000000" w:rsidRPr="00B83FAA" w:rsidP="00B83FAA">
      <w:pPr>
        <w:pStyle w:val="ListBullet"/>
      </w:pPr>
      <w:r w:rsidRPr="00B83FAA">
        <w:t>appropriate documents, materials, equipment and personal protective equipment (PPE) currently used in industry</w:t>
      </w:r>
    </w:p>
    <w:p w:rsidR="00000000" w:rsidRPr="00B83FAA" w:rsidP="00B83FAA">
      <w:pPr>
        <w:pStyle w:val="ListBullet"/>
      </w:pPr>
      <w:r w:rsidRPr="00B83FAA">
        <w:t>standard operating proce</w:t>
      </w:r>
      <w:r w:rsidRPr="00B83FAA">
        <w:t>dures and workplace policies related to the security work role and which specify requirements for complying with industry legislation and regulations</w:t>
      </w:r>
    </w:p>
    <w:p w:rsidR="00000000" w:rsidRPr="00B83FAA" w:rsidP="00B83FAA">
      <w:pPr>
        <w:pStyle w:val="ListBullet"/>
      </w:pPr>
      <w:r w:rsidRPr="00B83FAA">
        <w:t>a suspicious package to enable achievement of the performance evidence.</w:t>
      </w:r>
    </w:p>
    <w:p w:rsidR="00000000" w:rsidRPr="00B83FAA" w:rsidP="00B83FAA">
      <w:pPr>
        <w:pStyle w:val="AllowPageBreak"/>
      </w:pPr>
    </w:p>
    <w:p w:rsidR="00000000" w:rsidRPr="00B83FAA" w:rsidP="00B83FAA">
      <w:pPr>
        <w:pStyle w:val="Heading1"/>
      </w:pPr>
      <w:bookmarkStart w:id="5" w:name="O_1021826"/>
      <w:bookmarkEnd w:id="5"/>
      <w:r w:rsidRPr="00B83FAA">
        <w:t>Links</w:t>
      </w:r>
    </w:p>
    <w:p w:rsidR="00000000" w:rsidRPr="00B83FAA" w:rsidP="00F71C5B">
      <w:pPr>
        <w:pStyle w:val="BodyText"/>
      </w:pPr>
      <w:r w:rsidRPr="00B83FAA">
        <w:t>Companion</w:t>
      </w:r>
      <w:r w:rsidRPr="00B83FAA">
        <w:t xml:space="preserve">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51D51">
        <w:rPr>
          <w:rStyle w:val="Hyperlink"/>
        </w:rPr>
        <w:t>https://vetnet.gov.au/Pages/TrainingDocs.aspx?q=6f3f9672-30e8-4835-b348-205dfcf13d9b</w:t>
      </w:r>
      <w:r>
        <w:fldChar w:fldCharType="end"/>
      </w:r>
    </w:p>
    <w:p w:rsidR="00000000" w:rsidRPr="00B83FAA" w:rsidP="00B83FAA"/>
    <w:sectPr w:rsidSect="00B83F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F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FAA" w:rsidRPr="00F71C5B" w:rsidP="00F71C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F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5B" w:rsidP="00B83F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1C5B" w:rsidP="00B83F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F71C5B" w:rsidP="00B83F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F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FAA" w:rsidRPr="00F71C5B" w:rsidP="00F71C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F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5B" w:rsidRPr="002D2AF8" w:rsidP="00B83FAA">
    <w:pPr>
      <w:pStyle w:val="Header"/>
      <w:framePr w:wrap="around"/>
    </w:pPr>
    <w:r>
      <w:fldChar w:fldCharType="begin"/>
    </w:r>
    <w:r>
      <w:instrText xml:space="preserve"> TITLE   \* MERGEFORMAT </w:instrText>
    </w:r>
    <w:r>
      <w:fldChar w:fldCharType="separate"/>
    </w:r>
    <w:r>
      <w:t>Assessment Requirements for CPPSEC2104 Apply risk assessment to select and carry out response to security risk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F71C5B" w:rsidP="00B83F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6CDA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B8E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AC94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F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FAA"/>
    <w:pPr>
      <w:spacing w:before="360" w:after="60"/>
      <w:outlineLvl w:val="0"/>
    </w:pPr>
    <w:rPr>
      <w:sz w:val="32"/>
    </w:rPr>
  </w:style>
  <w:style w:type="paragraph" w:styleId="Heading2">
    <w:name w:val="heading 2"/>
    <w:basedOn w:val="HeadingBase"/>
    <w:next w:val="BodyText"/>
    <w:link w:val="Heading2Char"/>
    <w:qFormat/>
    <w:rsid w:val="00B83FAA"/>
    <w:pPr>
      <w:keepLines/>
      <w:spacing w:before="240" w:after="120"/>
      <w:outlineLvl w:val="1"/>
    </w:pPr>
    <w:rPr>
      <w:sz w:val="28"/>
      <w:szCs w:val="40"/>
    </w:rPr>
  </w:style>
  <w:style w:type="paragraph" w:styleId="Heading3">
    <w:name w:val="heading 3"/>
    <w:basedOn w:val="HeadingBase"/>
    <w:next w:val="BodyText"/>
    <w:link w:val="Heading3Char"/>
    <w:qFormat/>
    <w:rsid w:val="00B83FAA"/>
    <w:pPr>
      <w:spacing w:before="180" w:after="120"/>
      <w:outlineLvl w:val="2"/>
    </w:pPr>
    <w:rPr>
      <w:spacing w:val="-10"/>
      <w:kern w:val="32"/>
    </w:rPr>
  </w:style>
  <w:style w:type="paragraph" w:styleId="Heading4">
    <w:name w:val="heading 4"/>
    <w:basedOn w:val="HeadingBase"/>
    <w:next w:val="BodyText"/>
    <w:link w:val="Heading4Char"/>
    <w:qFormat/>
    <w:rsid w:val="00B83FAA"/>
    <w:pPr>
      <w:spacing w:before="160" w:after="120"/>
      <w:outlineLvl w:val="3"/>
    </w:pPr>
    <w:rPr>
      <w:sz w:val="22"/>
    </w:rPr>
  </w:style>
  <w:style w:type="paragraph" w:styleId="Heading5">
    <w:name w:val="heading 5"/>
    <w:basedOn w:val="HeadingBase"/>
    <w:next w:val="Normal"/>
    <w:link w:val="Heading5Char"/>
    <w:qFormat/>
    <w:rsid w:val="00B83FAA"/>
    <w:pPr>
      <w:spacing w:before="80"/>
      <w:outlineLvl w:val="4"/>
    </w:pPr>
    <w:rPr>
      <w:color w:val="918585"/>
      <w:sz w:val="20"/>
    </w:rPr>
  </w:style>
  <w:style w:type="paragraph" w:styleId="Heading6">
    <w:name w:val="heading 6"/>
    <w:basedOn w:val="HeadingBase"/>
    <w:next w:val="Normal"/>
    <w:link w:val="Heading6Char"/>
    <w:qFormat/>
    <w:rsid w:val="00B83FAA"/>
    <w:pPr>
      <w:spacing w:before="60"/>
      <w:outlineLvl w:val="5"/>
    </w:pPr>
    <w:rPr>
      <w:color w:val="918585"/>
      <w:sz w:val="20"/>
    </w:rPr>
  </w:style>
  <w:style w:type="paragraph" w:styleId="Heading7">
    <w:name w:val="heading 7"/>
    <w:basedOn w:val="Normal"/>
    <w:next w:val="Normal"/>
    <w:link w:val="Heading7Char"/>
    <w:qFormat/>
    <w:rsid w:val="00B83FAA"/>
    <w:pPr>
      <w:ind w:left="720"/>
      <w:outlineLvl w:val="6"/>
    </w:pPr>
    <w:rPr>
      <w:i/>
    </w:rPr>
  </w:style>
  <w:style w:type="paragraph" w:styleId="Heading8">
    <w:name w:val="heading 8"/>
    <w:basedOn w:val="Normal"/>
    <w:next w:val="Normal"/>
    <w:link w:val="Heading8Char"/>
    <w:qFormat/>
    <w:rsid w:val="00B83FAA"/>
    <w:pPr>
      <w:ind w:left="720"/>
      <w:outlineLvl w:val="7"/>
    </w:pPr>
    <w:rPr>
      <w:i/>
    </w:rPr>
  </w:style>
  <w:style w:type="paragraph" w:styleId="Heading9">
    <w:name w:val="heading 9"/>
    <w:basedOn w:val="Normal"/>
    <w:next w:val="Normal"/>
    <w:link w:val="Heading9Char"/>
    <w:qFormat/>
    <w:rsid w:val="00B83FAA"/>
    <w:pPr>
      <w:ind w:left="720"/>
      <w:outlineLvl w:val="8"/>
    </w:pPr>
    <w:rPr>
      <w:i/>
    </w:rPr>
  </w:style>
  <w:style w:type="character" w:default="1" w:styleId="DefaultParagraphFont">
    <w:name w:val="Default Paragraph Font"/>
    <w:uiPriority w:val="1"/>
    <w:unhideWhenUsed/>
    <w:rsid w:val="00B83F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FAA"/>
  </w:style>
  <w:style w:type="character" w:customStyle="1" w:styleId="Heading1Char">
    <w:name w:val="Heading 1 Char"/>
    <w:basedOn w:val="DefaultParagraphFont"/>
    <w:link w:val="Heading1"/>
    <w:rsid w:val="00B83FAA"/>
    <w:rPr>
      <w:rFonts w:ascii="Times New Roman" w:eastAsia="Times New Roman" w:hAnsi="Times New Roman" w:cs="Times New Roman"/>
      <w:b/>
      <w:sz w:val="32"/>
      <w:szCs w:val="20"/>
      <w:lang w:eastAsia="en-US"/>
    </w:rPr>
  </w:style>
  <w:style w:type="paragraph" w:styleId="BodyText">
    <w:name w:val="Body Text"/>
    <w:basedOn w:val="Normal"/>
    <w:link w:val="BodyTextChar"/>
    <w:rsid w:val="00B83F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FAA"/>
    <w:rPr>
      <w:rFonts w:ascii="Times New Roman" w:eastAsia="Times New Roman" w:hAnsi="Times New Roman" w:cs="Times New Roman"/>
      <w:sz w:val="24"/>
      <w:lang w:eastAsia="en-US"/>
    </w:rPr>
  </w:style>
  <w:style w:type="paragraph" w:styleId="ListBullet">
    <w:name w:val="List Bullet"/>
    <w:basedOn w:val="List"/>
    <w:rsid w:val="00B83FAA"/>
    <w:pPr>
      <w:numPr>
        <w:numId w:val="12"/>
      </w:numPr>
      <w:tabs>
        <w:tab w:val="clear" w:pos="340"/>
      </w:tabs>
      <w:spacing w:before="40" w:after="40"/>
    </w:pPr>
  </w:style>
  <w:style w:type="paragraph" w:styleId="ListBullet2">
    <w:name w:val="List Bullet 2"/>
    <w:basedOn w:val="List2"/>
    <w:rsid w:val="00B83FAA"/>
    <w:pPr>
      <w:numPr>
        <w:numId w:val="13"/>
      </w:numPr>
      <w:tabs>
        <w:tab w:val="clear" w:pos="680"/>
      </w:tabs>
    </w:pPr>
  </w:style>
  <w:style w:type="character" w:styleId="Emphasis">
    <w:name w:val="Emphasis"/>
    <w:basedOn w:val="DefaultParagraphFont"/>
    <w:qFormat/>
    <w:rsid w:val="00B83FAA"/>
    <w:rPr>
      <w:i/>
    </w:rPr>
  </w:style>
  <w:style w:type="paragraph" w:customStyle="1" w:styleId="SuperHeading">
    <w:name w:val="SuperHeading"/>
    <w:basedOn w:val="Normal"/>
    <w:rsid w:val="00B83FAA"/>
    <w:pPr>
      <w:spacing w:before="240" w:after="120"/>
      <w:outlineLvl w:val="0"/>
    </w:pPr>
    <w:rPr>
      <w:rFonts w:ascii="Times New Roman" w:hAnsi="Times New Roman"/>
      <w:b/>
      <w:sz w:val="32"/>
    </w:rPr>
  </w:style>
  <w:style w:type="paragraph" w:customStyle="1" w:styleId="AllowPageBreak">
    <w:name w:val="AllowPageBreak"/>
    <w:rsid w:val="00B83F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F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F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F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F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F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F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F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FAA"/>
    <w:rPr>
      <w:rFonts w:ascii="Courier New" w:eastAsia="Times New Roman" w:hAnsi="Courier New" w:cs="Times New Roman"/>
      <w:i/>
      <w:szCs w:val="20"/>
      <w:lang w:eastAsia="en-US"/>
    </w:rPr>
  </w:style>
  <w:style w:type="paragraph" w:customStyle="1" w:styleId="HeadingBase">
    <w:name w:val="Heading Base"/>
    <w:rsid w:val="00B83F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FAA"/>
    <w:pPr>
      <w:tabs>
        <w:tab w:val="right" w:leader="dot" w:pos="9072"/>
      </w:tabs>
      <w:ind w:left="567"/>
    </w:pPr>
    <w:rPr>
      <w:szCs w:val="22"/>
    </w:rPr>
  </w:style>
  <w:style w:type="paragraph" w:customStyle="1" w:styleId="TOCBase">
    <w:name w:val="TOC Base"/>
    <w:rsid w:val="00B83F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FAA"/>
    <w:pPr>
      <w:tabs>
        <w:tab w:val="right" w:leader="dot" w:pos="9072"/>
      </w:tabs>
      <w:spacing w:before="40" w:after="40"/>
      <w:ind w:left="284"/>
    </w:pPr>
    <w:rPr>
      <w:rFonts w:ascii="Times New Roman" w:hAnsi="Times New Roman"/>
    </w:rPr>
  </w:style>
  <w:style w:type="paragraph" w:styleId="TOC1">
    <w:name w:val="toc 1"/>
    <w:basedOn w:val="TOCBase"/>
    <w:next w:val="Normal"/>
    <w:rsid w:val="00B83F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F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FAA"/>
    <w:rPr>
      <w:rFonts w:ascii="Times New Roman" w:eastAsia="Times New Roman" w:hAnsi="Times New Roman" w:cs="Times New Roman"/>
      <w:sz w:val="16"/>
      <w:lang w:eastAsia="en-US"/>
    </w:rPr>
  </w:style>
  <w:style w:type="paragraph" w:styleId="Title">
    <w:name w:val="Title"/>
    <w:basedOn w:val="HeadingBase"/>
    <w:link w:val="TitleChar"/>
    <w:qFormat/>
    <w:rsid w:val="00B83FAA"/>
    <w:pPr>
      <w:spacing w:before="5040"/>
      <w:jc w:val="center"/>
    </w:pPr>
    <w:rPr>
      <w:sz w:val="48"/>
      <w:szCs w:val="72"/>
      <w:lang w:val="en-US"/>
    </w:rPr>
  </w:style>
  <w:style w:type="character" w:customStyle="1" w:styleId="TitleChar">
    <w:name w:val="Title Char"/>
    <w:basedOn w:val="DefaultParagraphFont"/>
    <w:link w:val="Title"/>
    <w:rsid w:val="00B83F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FAA"/>
    <w:pPr>
      <w:tabs>
        <w:tab w:val="left" w:pos="3600"/>
        <w:tab w:val="left" w:pos="3958"/>
      </w:tabs>
    </w:pPr>
  </w:style>
  <w:style w:type="paragraph" w:styleId="List">
    <w:name w:val="List"/>
    <w:basedOn w:val="BodyText"/>
    <w:next w:val="BodyText"/>
    <w:rsid w:val="00B83FAA"/>
    <w:pPr>
      <w:tabs>
        <w:tab w:val="left" w:pos="340"/>
      </w:tabs>
      <w:spacing w:before="60" w:after="60"/>
      <w:ind w:left="340" w:hanging="340"/>
    </w:pPr>
  </w:style>
  <w:style w:type="paragraph" w:customStyle="1" w:styleId="Note">
    <w:name w:val="Note"/>
    <w:basedOn w:val="BodyText"/>
    <w:rsid w:val="00B83F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3FAA"/>
    <w:rPr>
      <w:b/>
      <w:spacing w:val="0"/>
    </w:rPr>
  </w:style>
  <w:style w:type="paragraph" w:customStyle="1" w:styleId="SuperTitle">
    <w:name w:val="SuperTitle"/>
    <w:basedOn w:val="Title"/>
    <w:rsid w:val="00B83FAA"/>
    <w:pPr>
      <w:framePr w:wrap="auto" w:hAnchor="text" w:y="6049"/>
    </w:pPr>
    <w:rPr>
      <w:color w:val="000000"/>
      <w:sz w:val="40"/>
    </w:rPr>
  </w:style>
  <w:style w:type="paragraph" w:customStyle="1" w:styleId="TOCTitle">
    <w:name w:val="TOCTitle"/>
    <w:basedOn w:val="Heading1"/>
    <w:rsid w:val="00B83FAA"/>
    <w:pPr>
      <w:spacing w:after="240"/>
      <w:jc w:val="center"/>
      <w:outlineLvl w:val="9"/>
    </w:pPr>
    <w:rPr>
      <w:caps/>
    </w:rPr>
  </w:style>
  <w:style w:type="paragraph" w:customStyle="1" w:styleId="Version">
    <w:name w:val="Version"/>
    <w:rsid w:val="00B83F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FAA"/>
    <w:pPr>
      <w:keepNext w:val="0"/>
      <w:tabs>
        <w:tab w:val="right" w:pos="4176"/>
      </w:tabs>
      <w:ind w:left="198" w:hanging="198"/>
    </w:pPr>
    <w:rPr>
      <w:rFonts w:ascii="Garamond" w:hAnsi="Garamond"/>
    </w:rPr>
  </w:style>
  <w:style w:type="paragraph" w:styleId="IndexHeading">
    <w:name w:val="index heading"/>
    <w:basedOn w:val="Normal"/>
    <w:next w:val="Index1"/>
    <w:semiHidden/>
    <w:rsid w:val="00B83FAA"/>
    <w:pPr>
      <w:spacing w:before="120" w:after="120"/>
    </w:pPr>
    <w:rPr>
      <w:rFonts w:ascii="Arial" w:hAnsi="Arial"/>
      <w:b/>
      <w:color w:val="918585"/>
      <w:sz w:val="24"/>
    </w:rPr>
  </w:style>
  <w:style w:type="paragraph" w:styleId="Header">
    <w:name w:val="header"/>
    <w:basedOn w:val="Normal"/>
    <w:link w:val="HeaderChar"/>
    <w:rsid w:val="00B83F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FAA"/>
    <w:rPr>
      <w:rFonts w:ascii="Times New Roman" w:eastAsia="Times New Roman" w:hAnsi="Times New Roman" w:cs="Times New Roman"/>
      <w:sz w:val="16"/>
      <w:szCs w:val="20"/>
      <w:lang w:val="en-GB" w:eastAsia="en-US"/>
    </w:rPr>
  </w:style>
  <w:style w:type="paragraph" w:customStyle="1" w:styleId="Chapter">
    <w:name w:val="Chapter"/>
    <w:basedOn w:val="Normal"/>
    <w:rsid w:val="00B83FAA"/>
    <w:pPr>
      <w:spacing w:before="240"/>
    </w:pPr>
    <w:rPr>
      <w:rFonts w:ascii="Times New Roman" w:hAnsi="Times New Roman"/>
      <w:smallCaps/>
      <w:spacing w:val="80"/>
      <w:sz w:val="28"/>
    </w:rPr>
  </w:style>
  <w:style w:type="paragraph" w:customStyle="1" w:styleId="InChapter">
    <w:name w:val="InChapter"/>
    <w:basedOn w:val="Heading3"/>
    <w:rsid w:val="00B83FAA"/>
    <w:pPr>
      <w:spacing w:after="240"/>
      <w:outlineLvl w:val="9"/>
    </w:pPr>
    <w:rPr>
      <w:noProof/>
    </w:rPr>
  </w:style>
  <w:style w:type="paragraph" w:styleId="Index2">
    <w:name w:val="index 2"/>
    <w:basedOn w:val="Normal"/>
    <w:next w:val="Normal"/>
    <w:semiHidden/>
    <w:rsid w:val="00B83FAA"/>
    <w:pPr>
      <w:tabs>
        <w:tab w:val="right" w:pos="4176"/>
      </w:tabs>
      <w:ind w:left="568" w:hanging="284"/>
    </w:pPr>
    <w:rPr>
      <w:rFonts w:ascii="Garamond" w:hAnsi="Garamond"/>
    </w:rPr>
  </w:style>
  <w:style w:type="paragraph" w:customStyle="1" w:styleId="Byline">
    <w:name w:val="Byline"/>
    <w:rsid w:val="00B83F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FAA"/>
    <w:pPr>
      <w:tabs>
        <w:tab w:val="clear" w:pos="3600"/>
        <w:tab w:val="clear" w:pos="3958"/>
      </w:tabs>
      <w:jc w:val="right"/>
    </w:pPr>
  </w:style>
  <w:style w:type="paragraph" w:styleId="Caption">
    <w:name w:val="caption"/>
    <w:basedOn w:val="BodyText"/>
    <w:next w:val="Normal"/>
    <w:qFormat/>
    <w:rsid w:val="00B83FAA"/>
    <w:pPr>
      <w:framePr w:w="2268" w:hSpace="181" w:vSpace="181" w:wrap="around" w:vAnchor="text" w:hAnchor="page" w:x="1135" w:y="285" w:anchorLock="1"/>
    </w:pPr>
    <w:rPr>
      <w:i/>
    </w:rPr>
  </w:style>
  <w:style w:type="paragraph" w:customStyle="1" w:styleId="MiniTOCTitle">
    <w:name w:val="MiniTOCTitle"/>
    <w:basedOn w:val="Heading4"/>
    <w:rsid w:val="00B83FAA"/>
    <w:pPr>
      <w:spacing w:before="240"/>
      <w:outlineLvl w:val="9"/>
    </w:pPr>
    <w:rPr>
      <w:noProof/>
      <w:sz w:val="24"/>
    </w:rPr>
  </w:style>
  <w:style w:type="paragraph" w:customStyle="1" w:styleId="MiniTOCItem">
    <w:name w:val="MiniTOCItem"/>
    <w:basedOn w:val="ListBullet"/>
    <w:rsid w:val="00B83FAA"/>
    <w:pPr>
      <w:numPr>
        <w:numId w:val="0"/>
      </w:numPr>
      <w:tabs>
        <w:tab w:val="right" w:leader="dot" w:pos="6521"/>
      </w:tabs>
      <w:spacing w:before="0" w:after="0"/>
    </w:pPr>
  </w:style>
  <w:style w:type="paragraph" w:customStyle="1" w:styleId="TOFTitle">
    <w:name w:val="TOFTitle"/>
    <w:basedOn w:val="TOCTitle"/>
    <w:rsid w:val="00B83FAA"/>
  </w:style>
  <w:style w:type="paragraph" w:styleId="TableofFigures">
    <w:name w:val="table of figures"/>
    <w:basedOn w:val="Normal"/>
    <w:next w:val="Normal"/>
    <w:semiHidden/>
    <w:rsid w:val="00B83FAA"/>
    <w:pPr>
      <w:tabs>
        <w:tab w:val="right" w:leader="dot" w:pos="9072"/>
      </w:tabs>
      <w:ind w:left="970" w:hanging="403"/>
    </w:pPr>
    <w:rPr>
      <w:rFonts w:ascii="Times New Roman" w:hAnsi="Times New Roman"/>
      <w:b/>
    </w:rPr>
  </w:style>
  <w:style w:type="paragraph" w:styleId="ListNumber">
    <w:name w:val="List Number"/>
    <w:basedOn w:val="List"/>
    <w:rsid w:val="00B83FAA"/>
    <w:pPr>
      <w:numPr>
        <w:numId w:val="15"/>
      </w:numPr>
      <w:tabs>
        <w:tab w:val="clear" w:pos="340"/>
      </w:tabs>
    </w:pPr>
  </w:style>
  <w:style w:type="character" w:customStyle="1" w:styleId="WingdingSymbols">
    <w:name w:val="Wingding Symbols"/>
    <w:rsid w:val="00B83FAA"/>
    <w:rPr>
      <w:rFonts w:ascii="Wingdings" w:hAnsi="Wingdings"/>
    </w:rPr>
  </w:style>
  <w:style w:type="paragraph" w:customStyle="1" w:styleId="TableHeading">
    <w:name w:val="Table Heading"/>
    <w:basedOn w:val="HeadingBase"/>
    <w:rsid w:val="00B83FAA"/>
    <w:pPr>
      <w:keepLines/>
      <w:pBdr>
        <w:bottom w:val="single" w:sz="6" w:space="1" w:color="918585"/>
      </w:pBdr>
      <w:spacing w:before="240"/>
    </w:pPr>
  </w:style>
  <w:style w:type="character" w:customStyle="1" w:styleId="HotSpot">
    <w:name w:val="HotSpot"/>
    <w:rsid w:val="00B83FAA"/>
    <w:rPr>
      <w:color w:val="0033CC"/>
      <w:u w:val="none"/>
    </w:rPr>
  </w:style>
  <w:style w:type="paragraph" w:customStyle="1" w:styleId="BodyTextRight">
    <w:name w:val="Body Text Right"/>
    <w:basedOn w:val="BodyText"/>
    <w:rsid w:val="00B83FAA"/>
    <w:pPr>
      <w:spacing w:before="0" w:after="0"/>
      <w:jc w:val="right"/>
    </w:pPr>
  </w:style>
  <w:style w:type="paragraph" w:styleId="Index3">
    <w:name w:val="index 3"/>
    <w:basedOn w:val="ListNumber2"/>
    <w:next w:val="Normal"/>
    <w:semiHidden/>
    <w:rsid w:val="00B83FAA"/>
    <w:pPr>
      <w:numPr>
        <w:numId w:val="0"/>
      </w:numPr>
      <w:tabs>
        <w:tab w:val="right" w:leader="dot" w:pos="4176"/>
      </w:tabs>
    </w:pPr>
  </w:style>
  <w:style w:type="paragraph" w:styleId="ListNumber2">
    <w:name w:val="List Number 2"/>
    <w:basedOn w:val="List2"/>
    <w:rsid w:val="00B83FAA"/>
    <w:pPr>
      <w:numPr>
        <w:numId w:val="10"/>
      </w:numPr>
      <w:tabs>
        <w:tab w:val="clear" w:pos="1060"/>
      </w:tabs>
    </w:pPr>
  </w:style>
  <w:style w:type="paragraph" w:customStyle="1" w:styleId="MarginNote">
    <w:name w:val="Margin Note"/>
    <w:basedOn w:val="BodyText"/>
    <w:rsid w:val="00B83F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F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F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FAA"/>
    <w:rPr>
      <w:sz w:val="32"/>
    </w:rPr>
  </w:style>
  <w:style w:type="paragraph" w:customStyle="1" w:styleId="HeadingProcedure">
    <w:name w:val="Heading Procedure"/>
    <w:basedOn w:val="HeadingBase"/>
    <w:next w:val="Normal"/>
    <w:rsid w:val="00B83FAA"/>
    <w:pPr>
      <w:tabs>
        <w:tab w:val="left" w:pos="0"/>
      </w:tabs>
      <w:spacing w:before="120" w:after="60"/>
    </w:pPr>
    <w:rPr>
      <w:i/>
      <w:color w:val="918585"/>
      <w:sz w:val="22"/>
    </w:rPr>
  </w:style>
  <w:style w:type="paragraph" w:customStyle="1" w:styleId="TableBodyText">
    <w:name w:val="Table Body Text"/>
    <w:basedOn w:val="BodyText"/>
    <w:rsid w:val="00B83FAA"/>
    <w:pPr>
      <w:spacing w:before="60" w:after="60"/>
    </w:pPr>
  </w:style>
  <w:style w:type="paragraph" w:styleId="ListContinue">
    <w:name w:val="List Continue"/>
    <w:basedOn w:val="List"/>
    <w:rsid w:val="00B83FAA"/>
    <w:pPr>
      <w:ind w:firstLine="0"/>
    </w:pPr>
  </w:style>
  <w:style w:type="paragraph" w:customStyle="1" w:styleId="ListNote">
    <w:name w:val="List Note"/>
    <w:basedOn w:val="List"/>
    <w:rsid w:val="00B83FAA"/>
    <w:pPr>
      <w:pBdr>
        <w:top w:val="single" w:sz="6" w:space="2" w:color="918585"/>
        <w:bottom w:val="single" w:sz="6" w:space="2" w:color="918585"/>
      </w:pBdr>
      <w:tabs>
        <w:tab w:val="left" w:pos="1021"/>
      </w:tabs>
      <w:ind w:firstLine="0"/>
    </w:pPr>
  </w:style>
  <w:style w:type="paragraph" w:customStyle="1" w:styleId="Warning">
    <w:name w:val="Warning"/>
    <w:basedOn w:val="BodyText"/>
    <w:rsid w:val="00B83FAA"/>
    <w:pPr>
      <w:shd w:val="clear" w:color="auto" w:fill="D9D9D9"/>
      <w:tabs>
        <w:tab w:val="left" w:pos="992"/>
      </w:tabs>
      <w:ind w:left="119" w:right="119"/>
    </w:pPr>
    <w:rPr>
      <w:sz w:val="20"/>
    </w:rPr>
  </w:style>
  <w:style w:type="paragraph" w:customStyle="1" w:styleId="MarginIcons">
    <w:name w:val="Margin Icons"/>
    <w:basedOn w:val="BodyText"/>
    <w:rsid w:val="00B83F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FAA"/>
    <w:rPr>
      <w:rFonts w:ascii="Courier New" w:hAnsi="Courier New"/>
    </w:rPr>
  </w:style>
  <w:style w:type="paragraph" w:customStyle="1" w:styleId="NoteBullet">
    <w:name w:val="Note Bullet"/>
    <w:basedOn w:val="Note"/>
    <w:rsid w:val="00B83FAA"/>
    <w:pPr>
      <w:tabs>
        <w:tab w:val="clear" w:pos="680"/>
      </w:tabs>
      <w:spacing w:before="60" w:after="60"/>
    </w:pPr>
  </w:style>
  <w:style w:type="paragraph" w:customStyle="1" w:styleId="SubHeading2">
    <w:name w:val="SubHeading2"/>
    <w:basedOn w:val="HeadingBase"/>
    <w:rsid w:val="00B83FAA"/>
    <w:pPr>
      <w:spacing w:before="240" w:after="60"/>
    </w:pPr>
    <w:rPr>
      <w:sz w:val="20"/>
    </w:rPr>
  </w:style>
  <w:style w:type="paragraph" w:customStyle="1" w:styleId="SubHeading1">
    <w:name w:val="SubHeading1"/>
    <w:basedOn w:val="HeadingBase"/>
    <w:rsid w:val="00B83FAA"/>
    <w:pPr>
      <w:spacing w:before="240" w:after="60"/>
    </w:pPr>
    <w:rPr>
      <w:color w:val="918585"/>
      <w:sz w:val="22"/>
    </w:rPr>
  </w:style>
  <w:style w:type="paragraph" w:customStyle="1" w:styleId="SideHeading">
    <w:name w:val="Side Heading"/>
    <w:basedOn w:val="HeadingBase"/>
    <w:rsid w:val="00B83F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FAA"/>
    <w:pPr>
      <w:tabs>
        <w:tab w:val="num" w:pos="360"/>
      </w:tabs>
    </w:pPr>
  </w:style>
  <w:style w:type="paragraph" w:styleId="PlainText">
    <w:name w:val="Plain Text"/>
    <w:basedOn w:val="Normal"/>
    <w:link w:val="PlainTextChar"/>
    <w:rsid w:val="00B83FAA"/>
    <w:rPr>
      <w:sz w:val="20"/>
    </w:rPr>
  </w:style>
  <w:style w:type="character" w:customStyle="1" w:styleId="PlainTextChar">
    <w:name w:val="Plain Text Char"/>
    <w:basedOn w:val="DefaultParagraphFont"/>
    <w:link w:val="PlainText"/>
    <w:rsid w:val="00B83FAA"/>
    <w:rPr>
      <w:rFonts w:ascii="Courier New" w:eastAsia="Times New Roman" w:hAnsi="Courier New" w:cs="Times New Roman"/>
      <w:sz w:val="20"/>
      <w:szCs w:val="20"/>
      <w:lang w:eastAsia="en-US"/>
    </w:rPr>
  </w:style>
  <w:style w:type="character" w:customStyle="1" w:styleId="MenuOption">
    <w:name w:val="Menu Option"/>
    <w:basedOn w:val="DefaultParagraphFont"/>
    <w:rsid w:val="00B83FAA"/>
    <w:rPr>
      <w:b/>
      <w:smallCaps/>
    </w:rPr>
  </w:style>
  <w:style w:type="paragraph" w:customStyle="1" w:styleId="TableListNumber">
    <w:name w:val="Table List Number"/>
    <w:basedOn w:val="ListNumber"/>
    <w:rsid w:val="00B83FAA"/>
    <w:pPr>
      <w:numPr>
        <w:numId w:val="0"/>
      </w:numPr>
    </w:pPr>
  </w:style>
  <w:style w:type="paragraph" w:styleId="TOC4">
    <w:name w:val="toc 4"/>
    <w:basedOn w:val="TOCBase"/>
    <w:next w:val="Normal"/>
    <w:semiHidden/>
    <w:rsid w:val="00B83FAA"/>
    <w:pPr>
      <w:tabs>
        <w:tab w:val="right" w:leader="dot" w:pos="9071"/>
      </w:tabs>
      <w:ind w:left="1701"/>
    </w:pPr>
  </w:style>
  <w:style w:type="paragraph" w:customStyle="1" w:styleId="ListAlpha">
    <w:name w:val="List Alpha"/>
    <w:basedOn w:val="List"/>
    <w:rsid w:val="00B83FAA"/>
    <w:pPr>
      <w:numPr>
        <w:numId w:val="9"/>
      </w:numPr>
    </w:pPr>
  </w:style>
  <w:style w:type="paragraph" w:customStyle="1" w:styleId="ListAlpha2">
    <w:name w:val="List Alpha 2"/>
    <w:basedOn w:val="List2"/>
    <w:rsid w:val="00B83FAA"/>
    <w:pPr>
      <w:numPr>
        <w:numId w:val="8"/>
      </w:numPr>
    </w:pPr>
  </w:style>
  <w:style w:type="paragraph" w:styleId="List2">
    <w:name w:val="List 2"/>
    <w:basedOn w:val="BodyText"/>
    <w:rsid w:val="00B83FAA"/>
    <w:pPr>
      <w:tabs>
        <w:tab w:val="left" w:pos="680"/>
      </w:tabs>
      <w:spacing w:before="60" w:after="60"/>
      <w:ind w:left="680" w:hanging="340"/>
    </w:pPr>
  </w:style>
  <w:style w:type="paragraph" w:styleId="List3">
    <w:name w:val="List 3"/>
    <w:basedOn w:val="BodyText"/>
    <w:rsid w:val="00B83FAA"/>
    <w:pPr>
      <w:tabs>
        <w:tab w:val="left" w:pos="1021"/>
      </w:tabs>
      <w:spacing w:before="60" w:after="60"/>
      <w:ind w:left="1020" w:hanging="340"/>
    </w:pPr>
  </w:style>
  <w:style w:type="paragraph" w:styleId="List4">
    <w:name w:val="List 4"/>
    <w:basedOn w:val="BodyText"/>
    <w:rsid w:val="00B83FAA"/>
    <w:pPr>
      <w:tabs>
        <w:tab w:val="left" w:pos="1361"/>
      </w:tabs>
      <w:spacing w:before="60" w:after="60"/>
      <w:ind w:left="1361" w:hanging="340"/>
    </w:pPr>
  </w:style>
  <w:style w:type="paragraph" w:styleId="List5">
    <w:name w:val="List 5"/>
    <w:basedOn w:val="BodyText"/>
    <w:rsid w:val="00B83FAA"/>
    <w:pPr>
      <w:tabs>
        <w:tab w:val="left" w:pos="1701"/>
      </w:tabs>
      <w:spacing w:before="60" w:after="60"/>
      <w:ind w:left="1701" w:hanging="340"/>
    </w:pPr>
  </w:style>
  <w:style w:type="paragraph" w:styleId="ListBullet3">
    <w:name w:val="List Bullet 3"/>
    <w:basedOn w:val="List3"/>
    <w:rsid w:val="00B83FAA"/>
    <w:pPr>
      <w:numPr>
        <w:numId w:val="14"/>
      </w:numPr>
      <w:tabs>
        <w:tab w:val="clear" w:pos="1021"/>
      </w:tabs>
      <w:ind w:left="1037" w:hanging="357"/>
    </w:pPr>
  </w:style>
  <w:style w:type="paragraph" w:styleId="ListBullet4">
    <w:name w:val="List Bullet 4"/>
    <w:basedOn w:val="List4"/>
    <w:rsid w:val="00B83FAA"/>
    <w:pPr>
      <w:numPr>
        <w:numId w:val="3"/>
      </w:numPr>
      <w:tabs>
        <w:tab w:val="clear" w:pos="1361"/>
      </w:tabs>
    </w:pPr>
  </w:style>
  <w:style w:type="paragraph" w:styleId="ListBullet5">
    <w:name w:val="List Bullet 5"/>
    <w:basedOn w:val="List5"/>
    <w:rsid w:val="00B83FAA"/>
    <w:pPr>
      <w:numPr>
        <w:numId w:val="4"/>
      </w:numPr>
    </w:pPr>
  </w:style>
  <w:style w:type="paragraph" w:styleId="ListContinue2">
    <w:name w:val="List Continue 2"/>
    <w:basedOn w:val="List2"/>
    <w:rsid w:val="00B83FAA"/>
    <w:pPr>
      <w:ind w:firstLine="0"/>
    </w:pPr>
  </w:style>
  <w:style w:type="paragraph" w:styleId="ListContinue3">
    <w:name w:val="List Continue 3"/>
    <w:basedOn w:val="List3"/>
    <w:rsid w:val="00B83FAA"/>
    <w:pPr>
      <w:ind w:left="1021" w:firstLine="0"/>
    </w:pPr>
  </w:style>
  <w:style w:type="paragraph" w:styleId="ListContinue4">
    <w:name w:val="List Continue 4"/>
    <w:basedOn w:val="List4"/>
    <w:rsid w:val="00B83FAA"/>
    <w:pPr>
      <w:ind w:firstLine="0"/>
    </w:pPr>
  </w:style>
  <w:style w:type="paragraph" w:styleId="ListContinue5">
    <w:name w:val="List Continue 5"/>
    <w:basedOn w:val="List5"/>
    <w:rsid w:val="00B83FAA"/>
    <w:pPr>
      <w:ind w:firstLine="0"/>
    </w:pPr>
  </w:style>
  <w:style w:type="paragraph" w:styleId="ListNumber3">
    <w:name w:val="List Number 3"/>
    <w:basedOn w:val="List3"/>
    <w:rsid w:val="00B83FAA"/>
    <w:pPr>
      <w:numPr>
        <w:numId w:val="5"/>
      </w:numPr>
    </w:pPr>
  </w:style>
  <w:style w:type="paragraph" w:styleId="ListNumber4">
    <w:name w:val="List Number 4"/>
    <w:basedOn w:val="List4"/>
    <w:rsid w:val="00B83FAA"/>
    <w:pPr>
      <w:numPr>
        <w:numId w:val="6"/>
      </w:numPr>
    </w:pPr>
  </w:style>
  <w:style w:type="paragraph" w:styleId="ListNumber5">
    <w:name w:val="List Number 5"/>
    <w:basedOn w:val="List5"/>
    <w:rsid w:val="00B83FAA"/>
    <w:pPr>
      <w:numPr>
        <w:numId w:val="7"/>
      </w:numPr>
    </w:pPr>
  </w:style>
  <w:style w:type="paragraph" w:styleId="BlockText">
    <w:name w:val="Block Text"/>
    <w:basedOn w:val="Normal"/>
    <w:rsid w:val="00B83FAA"/>
    <w:pPr>
      <w:spacing w:after="120"/>
      <w:ind w:left="1440" w:right="1440"/>
    </w:pPr>
  </w:style>
  <w:style w:type="character" w:customStyle="1" w:styleId="Subscript">
    <w:name w:val="Subscript"/>
    <w:basedOn w:val="DefaultParagraphFont"/>
    <w:rsid w:val="00B83FAA"/>
    <w:rPr>
      <w:sz w:val="16"/>
      <w:vertAlign w:val="subscript"/>
    </w:rPr>
  </w:style>
  <w:style w:type="character" w:customStyle="1" w:styleId="Superscript">
    <w:name w:val="Superscript"/>
    <w:basedOn w:val="DefaultParagraphFont"/>
    <w:rsid w:val="00B83FAA"/>
    <w:rPr>
      <w:sz w:val="16"/>
      <w:vertAlign w:val="superscript"/>
    </w:rPr>
  </w:style>
  <w:style w:type="character" w:customStyle="1" w:styleId="Symbols">
    <w:name w:val="Symbols"/>
    <w:basedOn w:val="DefaultParagraphFont"/>
    <w:rsid w:val="00B83FAA"/>
    <w:rPr>
      <w:rFonts w:ascii="Symbol" w:hAnsi="Symbol"/>
    </w:rPr>
  </w:style>
  <w:style w:type="character" w:customStyle="1" w:styleId="MenuOptions">
    <w:name w:val="Menu Options"/>
    <w:basedOn w:val="DefaultParagraphFont"/>
    <w:rsid w:val="00B83FAA"/>
    <w:rPr>
      <w:rFonts w:ascii="Arial Narrow" w:hAnsi="Arial Narrow"/>
      <w:smallCaps/>
    </w:rPr>
  </w:style>
  <w:style w:type="character" w:customStyle="1" w:styleId="Buttons">
    <w:name w:val="Buttons"/>
    <w:basedOn w:val="DefaultParagraphFont"/>
    <w:rsid w:val="00B83FAA"/>
    <w:rPr>
      <w:b/>
    </w:rPr>
  </w:style>
  <w:style w:type="character" w:customStyle="1" w:styleId="Underlined">
    <w:name w:val="Underlined"/>
    <w:basedOn w:val="DefaultParagraphFont"/>
    <w:rsid w:val="00B83FAA"/>
    <w:rPr>
      <w:u w:val="single"/>
    </w:rPr>
  </w:style>
  <w:style w:type="paragraph" w:customStyle="1" w:styleId="TableBodyTextRight">
    <w:name w:val="Table Body Text Right"/>
    <w:basedOn w:val="TableBodyText"/>
    <w:rsid w:val="00B83FAA"/>
    <w:pPr>
      <w:widowControl w:val="0"/>
      <w:autoSpaceDE w:val="0"/>
      <w:autoSpaceDN w:val="0"/>
      <w:adjustRightInd w:val="0"/>
      <w:jc w:val="right"/>
    </w:pPr>
    <w:rPr>
      <w:rFonts w:cs="Arial"/>
      <w:szCs w:val="18"/>
    </w:rPr>
  </w:style>
  <w:style w:type="paragraph" w:customStyle="1" w:styleId="CopyrightText">
    <w:name w:val="Copyright Text"/>
    <w:basedOn w:val="BodyText"/>
    <w:rsid w:val="00B83FAA"/>
    <w:rPr>
      <w:sz w:val="18"/>
    </w:rPr>
  </w:style>
  <w:style w:type="paragraph" w:customStyle="1" w:styleId="BodySmallRight">
    <w:name w:val="Body Small Right"/>
    <w:basedOn w:val="BodyTextRight"/>
    <w:rsid w:val="00B83FAA"/>
    <w:rPr>
      <w:sz w:val="18"/>
      <w:szCs w:val="18"/>
    </w:rPr>
  </w:style>
  <w:style w:type="paragraph" w:customStyle="1" w:styleId="MarginEdition">
    <w:name w:val="Margin Edition"/>
    <w:basedOn w:val="MarginNote"/>
    <w:rsid w:val="00B83FAA"/>
    <w:pPr>
      <w:spacing w:before="0" w:after="0"/>
    </w:pPr>
    <w:rPr>
      <w:rFonts w:ascii="Times New Roman" w:hAnsi="Times New Roman"/>
      <w:color w:val="999999"/>
    </w:rPr>
  </w:style>
  <w:style w:type="paragraph" w:customStyle="1" w:styleId="Spacer">
    <w:name w:val="Spacer"/>
    <w:basedOn w:val="Normal"/>
    <w:rsid w:val="00B83FAA"/>
    <w:rPr>
      <w:sz w:val="2"/>
      <w:szCs w:val="2"/>
    </w:rPr>
  </w:style>
  <w:style w:type="character" w:customStyle="1" w:styleId="Small">
    <w:name w:val="Small"/>
    <w:basedOn w:val="DefaultParagraphFont"/>
    <w:rsid w:val="00B83FAA"/>
    <w:rPr>
      <w:sz w:val="16"/>
    </w:rPr>
  </w:style>
  <w:style w:type="paragraph" w:customStyle="1" w:styleId="WideTable">
    <w:name w:val="Wide Table"/>
    <w:basedOn w:val="Normal"/>
    <w:rsid w:val="00B83FAA"/>
    <w:pPr>
      <w:ind w:left="-1418"/>
    </w:pPr>
    <w:rPr>
      <w:sz w:val="2"/>
      <w:szCs w:val="2"/>
    </w:rPr>
  </w:style>
  <w:style w:type="character" w:styleId="PageNumber">
    <w:name w:val="page number"/>
    <w:basedOn w:val="DefaultParagraphFont"/>
    <w:rsid w:val="00B83FAA"/>
  </w:style>
  <w:style w:type="paragraph" w:styleId="Quote">
    <w:name w:val="Quote"/>
    <w:basedOn w:val="Heading1"/>
    <w:link w:val="QuoteChar"/>
    <w:qFormat/>
    <w:rsid w:val="00B83FAA"/>
    <w:rPr>
      <w:b w:val="0"/>
      <w:sz w:val="72"/>
      <w:szCs w:val="72"/>
      <w:lang w:val="en-NZ"/>
    </w:rPr>
  </w:style>
  <w:style w:type="character" w:customStyle="1" w:styleId="QuoteChar">
    <w:name w:val="Quote Char"/>
    <w:basedOn w:val="DefaultParagraphFont"/>
    <w:link w:val="Quote"/>
    <w:rsid w:val="00B83F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FAA"/>
    <w:pPr>
      <w:pageBreakBefore/>
    </w:pPr>
  </w:style>
  <w:style w:type="paragraph" w:customStyle="1" w:styleId="Border">
    <w:name w:val="Border"/>
    <w:basedOn w:val="Normal"/>
    <w:qFormat/>
    <w:rsid w:val="00B83F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FAA"/>
    <w:rPr>
      <w:b/>
      <w:bCs/>
      <w:i/>
      <w:iCs/>
      <w:color w:val="auto"/>
    </w:rPr>
  </w:style>
  <w:style w:type="paragraph" w:styleId="IntenseQuote">
    <w:name w:val="Intense Quote"/>
    <w:basedOn w:val="Normal"/>
    <w:next w:val="Normal"/>
    <w:link w:val="IntenseQuoteChar"/>
    <w:uiPriority w:val="30"/>
    <w:qFormat/>
    <w:rsid w:val="00B83F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F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FAA"/>
    <w:rPr>
      <w:smallCaps/>
      <w:color w:val="auto"/>
      <w:u w:val="single"/>
    </w:rPr>
  </w:style>
  <w:style w:type="character" w:styleId="IntenseReference">
    <w:name w:val="Intense Reference"/>
    <w:basedOn w:val="DefaultParagraphFont"/>
    <w:uiPriority w:val="32"/>
    <w:qFormat/>
    <w:rsid w:val="00B83FAA"/>
    <w:rPr>
      <w:b/>
      <w:bCs/>
      <w:smallCaps/>
      <w:color w:val="auto"/>
      <w:spacing w:val="5"/>
      <w:u w:val="single"/>
    </w:rPr>
  </w:style>
  <w:style w:type="paragraph" w:customStyle="1" w:styleId="2ColumnHeading">
    <w:name w:val="2Column Heading"/>
    <w:basedOn w:val="BodyText"/>
    <w:qFormat/>
    <w:rsid w:val="00B83FAA"/>
    <w:pPr>
      <w:spacing w:after="60"/>
      <w:ind w:left="-2268"/>
    </w:pPr>
    <w:rPr>
      <w:b/>
    </w:rPr>
  </w:style>
  <w:style w:type="paragraph" w:customStyle="1" w:styleId="Heading1TOC">
    <w:name w:val="Heading1 TOC"/>
    <w:basedOn w:val="Normal"/>
    <w:qFormat/>
    <w:rsid w:val="00B83FAA"/>
    <w:pPr>
      <w:spacing w:before="240" w:after="120"/>
    </w:pPr>
    <w:rPr>
      <w:rFonts w:ascii="Times New Roman" w:hAnsi="Times New Roman"/>
      <w:b/>
      <w:sz w:val="32"/>
    </w:rPr>
  </w:style>
  <w:style w:type="paragraph" w:customStyle="1" w:styleId="Heading2TOC">
    <w:name w:val="Heading2 TOC"/>
    <w:basedOn w:val="Normal"/>
    <w:qFormat/>
    <w:rsid w:val="00B83FAA"/>
    <w:pPr>
      <w:spacing w:before="240" w:after="60"/>
    </w:pPr>
    <w:rPr>
      <w:rFonts w:ascii="Times New Roman" w:hAnsi="Times New Roman"/>
      <w:b/>
      <w:sz w:val="28"/>
    </w:rPr>
  </w:style>
  <w:style w:type="character" w:customStyle="1" w:styleId="Underline">
    <w:name w:val="Underline"/>
    <w:basedOn w:val="DefaultParagraphFont"/>
    <w:qFormat/>
    <w:rsid w:val="00B83FAA"/>
    <w:rPr>
      <w:u w:val="single"/>
    </w:rPr>
  </w:style>
  <w:style w:type="character" w:customStyle="1" w:styleId="BoldandItalics">
    <w:name w:val="Bold and Italics"/>
    <w:qFormat/>
    <w:rsid w:val="00B83FAA"/>
    <w:rPr>
      <w:b/>
      <w:i/>
      <w:u w:val="none"/>
    </w:rPr>
  </w:style>
  <w:style w:type="paragraph" w:styleId="BalloonText">
    <w:name w:val="Balloon Text"/>
    <w:basedOn w:val="Normal"/>
    <w:link w:val="BalloonTextChar"/>
    <w:rsid w:val="00B83FAA"/>
    <w:rPr>
      <w:rFonts w:ascii="Tahoma" w:hAnsi="Tahoma" w:cs="Tahoma"/>
      <w:sz w:val="16"/>
      <w:szCs w:val="16"/>
    </w:rPr>
  </w:style>
  <w:style w:type="character" w:customStyle="1" w:styleId="BalloonTextChar">
    <w:name w:val="Balloon Text Char"/>
    <w:basedOn w:val="DefaultParagraphFont"/>
    <w:link w:val="BalloonText"/>
    <w:rsid w:val="00B83F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F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F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FAA"/>
    <w:rPr>
      <w:b/>
      <w:color w:val="660033"/>
      <w:spacing w:val="0"/>
    </w:rPr>
  </w:style>
  <w:style w:type="paragraph" w:customStyle="1" w:styleId="Nameditemlist">
    <w:name w:val="Named item list"/>
    <w:basedOn w:val="BodyText"/>
    <w:qFormat/>
    <w:rsid w:val="00B83FAA"/>
    <w:pPr>
      <w:tabs>
        <w:tab w:val="left" w:pos="2835"/>
      </w:tabs>
      <w:ind w:left="2835" w:hanging="2835"/>
    </w:pPr>
  </w:style>
  <w:style w:type="paragraph" w:customStyle="1" w:styleId="BodyTextnopadding">
    <w:name w:val="Body Text no padding"/>
    <w:basedOn w:val="BodyText"/>
    <w:qFormat/>
    <w:rsid w:val="00B83FAA"/>
    <w:pPr>
      <w:spacing w:before="0" w:after="0"/>
    </w:pPr>
  </w:style>
  <w:style w:type="paragraph" w:customStyle="1" w:styleId="BodyTextBold">
    <w:name w:val="Body Text Bold"/>
    <w:basedOn w:val="BodyText"/>
    <w:qFormat/>
    <w:rsid w:val="00B83FAA"/>
    <w:rPr>
      <w:b/>
    </w:rPr>
  </w:style>
  <w:style w:type="character" w:styleId="Hyperlink">
    <w:name w:val="Hyperlink"/>
    <w:basedOn w:val="DefaultParagraphFont"/>
    <w:uiPriority w:val="99"/>
    <w:unhideWhenUsed/>
    <w:rsid w:val="00F71C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4426</Characters>
  <Application>Microsoft Office Word</Application>
  <DocSecurity>0</DocSecurity>
  <Lines>100</Lines>
  <Paragraphs>71</Paragraphs>
  <ScaleCrop>false</ScaleCrop>
  <Company>Author-it Software Corporation Ltd.</Company>
  <LinksUpToDate>false</LinksUpToDate>
  <CharactersWithSpaces>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CPPSEC2104 Apply risk assessment to select and carry out response to security risk situations</dc:title>
  <dc:subject>Approved</dc:subject>
  <dc:creator>Artibus Innovation</dc:creator>
  <cp:keywords>Release: 2</cp:keywords>
  <dc:description>Review Date: 12 April 2008</dc:description>
  <cp:lastModifiedBy>HSD_TPCMSd.prod</cp:lastModifiedBy>
  <cp:revision>3</cp:revision>
  <dcterms:created xsi:type="dcterms:W3CDTF">2022-12-19T06:14:00Z</dcterms:created>
  <dcterms:modified xsi:type="dcterms:W3CDTF">2022-12-19T06:14:00Z</dcterms:modified>
</cp:coreProperties>
</file>