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9DF" w:rsidP="004F59DF">
      <w:pPr>
        <w:pStyle w:val="Title"/>
      </w:pPr>
      <w:r>
        <w:fldChar w:fldCharType="begin"/>
      </w:r>
      <w:r>
        <w:instrText xml:space="preserve"> TITLE   \* MERGEFORMAT </w:instrText>
      </w:r>
      <w:r>
        <w:fldChar w:fldCharType="separate"/>
      </w:r>
      <w:r>
        <w:t>CPPSEC2103 Apply WHS, emergency response and evacuation procedures to maintain security</w:t>
      </w:r>
      <w:r>
        <w:fldChar w:fldCharType="end"/>
      </w:r>
    </w:p>
    <w:p w:rsidR="004F59DF" w:rsidP="004F59DF">
      <w:pPr>
        <w:pStyle w:val="Version"/>
        <w:sectPr w:rsidSect="00B16C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16C72" w:rsidP="00B16C72">
      <w:pPr>
        <w:pStyle w:val="SuperHeading"/>
      </w:pPr>
      <w:r w:rsidRPr="00B16C72">
        <w:t>CPPSEC2103 Apply WHS, emergency response and evacuation procedures to maintain security</w:t>
      </w:r>
    </w:p>
    <w:p w:rsidR="00000000" w:rsidRPr="00B16C72" w:rsidP="00B16C72">
      <w:pPr>
        <w:pStyle w:val="Heading1"/>
      </w:pPr>
      <w:bookmarkStart w:id="1" w:name="O_1162343"/>
      <w:bookmarkEnd w:id="1"/>
      <w:r w:rsidRPr="00B16C72">
        <w:t>Modification History</w:t>
      </w:r>
    </w:p>
    <w:tbl>
      <w:tblPr>
        <w:tblW w:w="0" w:type="auto"/>
        <w:tblLayout w:type="fixed"/>
        <w:tblCellMar>
          <w:left w:w="62" w:type="dxa"/>
          <w:right w:w="62" w:type="dxa"/>
        </w:tblCellMar>
        <w:tblLook w:val="0000"/>
      </w:tblPr>
      <w:tblGrid>
        <w:gridCol w:w="1128"/>
        <w:gridCol w:w="7944"/>
      </w:tblGrid>
      <w:tr w:rsidTr="00B16C7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16C72">
            <w:pPr>
              <w:pStyle w:val="BodyText"/>
              <w:rPr>
                <w:lang w:val="en-NZ"/>
              </w:rPr>
            </w:pPr>
            <w:r w:rsidRPr="00B16C72">
              <w:t>Release 4</w:t>
            </w:r>
          </w:p>
        </w:tc>
        <w:tc>
          <w:tcPr>
            <w:tcW w:w="7944" w:type="dxa"/>
            <w:tcBorders>
              <w:top w:val="nil"/>
              <w:left w:val="nil"/>
              <w:bottom w:val="nil"/>
              <w:right w:val="nil"/>
            </w:tcBorders>
            <w:tcMar>
              <w:top w:w="0" w:type="dxa"/>
              <w:left w:w="62" w:type="dxa"/>
              <w:bottom w:w="0" w:type="dxa"/>
              <w:right w:w="62" w:type="dxa"/>
            </w:tcMar>
          </w:tcPr>
          <w:p w:rsidR="00000000" w:rsidRPr="00B16C72" w:rsidP="00B16C72">
            <w:pPr>
              <w:pStyle w:val="BodyText"/>
            </w:pPr>
            <w:r w:rsidRPr="00B16C72">
              <w:t>This version first released with CPP Property Services Training Package Release 12.0.</w:t>
            </w:r>
          </w:p>
          <w:p w:rsidR="00000000" w:rsidP="00B16C72">
            <w:pPr>
              <w:pStyle w:val="BodyText"/>
              <w:rPr>
                <w:lang w:val="en-NZ"/>
              </w:rPr>
            </w:pPr>
            <w:r w:rsidRPr="00B16C72">
              <w:t>Unit mapping information rectified.</w:t>
            </w:r>
          </w:p>
        </w:tc>
      </w:tr>
      <w:tr w:rsidTr="00B16C7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16C72">
            <w:pPr>
              <w:pStyle w:val="BodyText"/>
              <w:rPr>
                <w:lang w:val="en-NZ"/>
              </w:rPr>
            </w:pPr>
            <w:r w:rsidRPr="00B16C72">
              <w:t>Release 3</w:t>
            </w:r>
          </w:p>
        </w:tc>
        <w:tc>
          <w:tcPr>
            <w:tcW w:w="7944" w:type="dxa"/>
            <w:tcBorders>
              <w:top w:val="nil"/>
              <w:left w:val="nil"/>
              <w:bottom w:val="nil"/>
              <w:right w:val="nil"/>
            </w:tcBorders>
            <w:tcMar>
              <w:top w:w="0" w:type="dxa"/>
              <w:left w:w="62" w:type="dxa"/>
              <w:bottom w:w="0" w:type="dxa"/>
              <w:right w:w="62" w:type="dxa"/>
            </w:tcMar>
          </w:tcPr>
          <w:p w:rsidR="00000000" w:rsidRPr="00B16C72" w:rsidP="00B16C72">
            <w:pPr>
              <w:pStyle w:val="BodyText"/>
            </w:pPr>
            <w:r w:rsidRPr="00B16C72">
              <w:t>This version first released with CPP Property Services Training Package Release 11.0</w:t>
            </w:r>
          </w:p>
          <w:p w:rsidR="00000000" w:rsidP="00B16C72">
            <w:pPr>
              <w:pStyle w:val="BodyText"/>
              <w:rPr>
                <w:lang w:val="en-NZ"/>
              </w:rPr>
            </w:pPr>
            <w:r w:rsidRPr="00B16C72">
              <w:t>Correction to Mapping Notes.</w:t>
            </w:r>
          </w:p>
        </w:tc>
      </w:tr>
      <w:tr w:rsidTr="00B16C7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16C72">
            <w:pPr>
              <w:pStyle w:val="BodyText"/>
              <w:rPr>
                <w:lang w:val="en-NZ"/>
              </w:rPr>
            </w:pPr>
            <w:r w:rsidRPr="00B16C72">
              <w:t>Release 2</w:t>
            </w:r>
          </w:p>
        </w:tc>
        <w:tc>
          <w:tcPr>
            <w:tcW w:w="7944" w:type="dxa"/>
            <w:tcBorders>
              <w:top w:val="nil"/>
              <w:left w:val="nil"/>
              <w:bottom w:val="nil"/>
              <w:right w:val="nil"/>
            </w:tcBorders>
            <w:tcMar>
              <w:top w:w="0" w:type="dxa"/>
              <w:left w:w="62" w:type="dxa"/>
              <w:bottom w:w="0" w:type="dxa"/>
              <w:right w:w="62" w:type="dxa"/>
            </w:tcMar>
          </w:tcPr>
          <w:p w:rsidR="00000000" w:rsidRPr="00B16C72" w:rsidP="00B16C72">
            <w:pPr>
              <w:pStyle w:val="BodyText"/>
            </w:pPr>
            <w:r w:rsidRPr="00B16C72">
              <w:t>This version first released with CPP Property Services Training Package Release 7.1.</w:t>
            </w:r>
          </w:p>
          <w:p w:rsidR="00000000" w:rsidP="00B16C72">
            <w:pPr>
              <w:pStyle w:val="BodyText"/>
              <w:rPr>
                <w:lang w:val="en-NZ"/>
              </w:rPr>
            </w:pPr>
            <w:r w:rsidRPr="00B16C72">
              <w:t>Supersedes and is equivalent to CPPSEC1004A Apply health care security procedures.</w:t>
            </w:r>
          </w:p>
        </w:tc>
      </w:tr>
      <w:tr w:rsidTr="00B16C7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16C72">
            <w:pPr>
              <w:pStyle w:val="BodyText"/>
              <w:rPr>
                <w:lang w:val="en-NZ"/>
              </w:rPr>
            </w:pPr>
            <w:r w:rsidRPr="00B16C72">
              <w:t>Release 1</w:t>
            </w:r>
          </w:p>
        </w:tc>
        <w:tc>
          <w:tcPr>
            <w:tcW w:w="7944" w:type="dxa"/>
            <w:tcBorders>
              <w:top w:val="nil"/>
              <w:left w:val="nil"/>
              <w:bottom w:val="nil"/>
              <w:right w:val="nil"/>
            </w:tcBorders>
            <w:tcMar>
              <w:top w:w="0" w:type="dxa"/>
              <w:left w:w="62" w:type="dxa"/>
              <w:bottom w:w="0" w:type="dxa"/>
              <w:right w:w="62" w:type="dxa"/>
            </w:tcMar>
          </w:tcPr>
          <w:p w:rsidR="00000000" w:rsidRPr="00B16C72" w:rsidP="00B16C72">
            <w:pPr>
              <w:pStyle w:val="BodyText"/>
            </w:pPr>
            <w:r w:rsidRPr="00B16C72">
              <w:t>This version first released with CPP Property Services Training Package Release 7.0.</w:t>
            </w:r>
          </w:p>
          <w:p w:rsidR="00000000" w:rsidRPr="00B16C72" w:rsidP="00B16C72">
            <w:pPr>
              <w:pStyle w:val="BodyText"/>
            </w:pPr>
            <w:r w:rsidRPr="00B16C72">
              <w:t>Supersedes and is equivalent to CPPSEC2002A Follow workplace safety procedur</w:t>
            </w:r>
            <w:r w:rsidRPr="00B16C72">
              <w:t>es in the security industry.</w:t>
            </w:r>
          </w:p>
          <w:p w:rsidR="00000000" w:rsidRPr="00B16C72" w:rsidP="00B16C72">
            <w:pPr>
              <w:pStyle w:val="BodyText"/>
            </w:pPr>
            <w:r w:rsidRPr="00B16C72">
              <w:t>Updated to meet the Standards for Training Packages.</w:t>
            </w:r>
          </w:p>
        </w:tc>
      </w:tr>
    </w:tbl>
    <w:p w:rsidR="00000000" w:rsidRPr="00B16C72" w:rsidP="00B16C72">
      <w:pPr>
        <w:pStyle w:val="BodyText"/>
      </w:pPr>
    </w:p>
    <w:p w:rsidR="00000000" w:rsidRPr="00B16C72" w:rsidP="00B16C72">
      <w:pPr>
        <w:pStyle w:val="AllowPageBreak"/>
      </w:pPr>
    </w:p>
    <w:p w:rsidR="00000000" w:rsidRPr="00B16C72" w:rsidP="00B16C72">
      <w:pPr>
        <w:pStyle w:val="Heading1"/>
      </w:pPr>
      <w:bookmarkStart w:id="2" w:name="O_1162342"/>
      <w:bookmarkEnd w:id="2"/>
      <w:r w:rsidRPr="00B16C72">
        <w:t>Application</w:t>
      </w:r>
    </w:p>
    <w:p w:rsidR="00000000" w:rsidRPr="00B16C72" w:rsidP="004F59DF">
      <w:pPr>
        <w:pStyle w:val="BodyText"/>
      </w:pPr>
      <w:r w:rsidRPr="00B16C72">
        <w:t>This unit specifies the skills and knowledge required to apply workplace health and safety (WHS), emergency response and evacuation procedures to maintain security and ensure the safety of self and others in the work environment.</w:t>
      </w:r>
    </w:p>
    <w:p w:rsidR="00000000" w:rsidRPr="00B16C72" w:rsidP="004F59DF">
      <w:pPr>
        <w:pStyle w:val="BodyText"/>
      </w:pPr>
      <w:r w:rsidRPr="00B16C72">
        <w:t xml:space="preserve">It includes: </w:t>
      </w:r>
    </w:p>
    <w:p w:rsidR="00000000" w:rsidRPr="00B16C72" w:rsidP="00B16C72">
      <w:pPr>
        <w:pStyle w:val="ListBullet"/>
      </w:pPr>
      <w:r w:rsidRPr="00B16C72">
        <w:t xml:space="preserve">clarifying </w:t>
      </w:r>
      <w:r w:rsidRPr="00B16C72">
        <w:t>and applying policies and procedures to comply with legal rights and responsibilities</w:t>
      </w:r>
    </w:p>
    <w:p w:rsidR="00000000" w:rsidRPr="00B16C72" w:rsidP="00B16C72">
      <w:pPr>
        <w:pStyle w:val="ListBullet"/>
      </w:pPr>
      <w:r w:rsidRPr="00B16C72">
        <w:t>identifying, assessing and controlling security hazards and risks within the limits of own authority</w:t>
      </w:r>
    </w:p>
    <w:p w:rsidR="00000000" w:rsidRPr="00B16C72" w:rsidP="00B16C72">
      <w:pPr>
        <w:pStyle w:val="ListBullet"/>
      </w:pPr>
      <w:r w:rsidRPr="00B16C72">
        <w:t>working with others to identify and respond to emergency situations i</w:t>
      </w:r>
      <w:r w:rsidRPr="00B16C72">
        <w:t>ncluding evacuation of the work area</w:t>
      </w:r>
    </w:p>
    <w:p w:rsidR="00000000" w:rsidRPr="00B16C72" w:rsidP="00B16C72">
      <w:pPr>
        <w:pStyle w:val="ListBullet"/>
      </w:pPr>
      <w:r w:rsidRPr="00B16C72">
        <w:t>participating in a review of an emergency response to identify procedural improvements.</w:t>
      </w:r>
    </w:p>
    <w:p w:rsidR="00000000" w:rsidRPr="00B16C72" w:rsidP="004F59DF">
      <w:pPr>
        <w:pStyle w:val="BodyText"/>
      </w:pPr>
      <w:r w:rsidRPr="00B16C72">
        <w:t>It applies to people working under general supervision as members of a security team.</w:t>
      </w:r>
    </w:p>
    <w:p w:rsidR="00000000" w:rsidRPr="00B16C72" w:rsidP="004F59DF">
      <w:pPr>
        <w:pStyle w:val="BodyText"/>
      </w:pPr>
      <w:r w:rsidRPr="00B16C72">
        <w:t>This unit may form part of the licensing requ</w:t>
      </w:r>
      <w:r w:rsidRPr="00B16C72">
        <w:t>irements for people engaged in security operations in those states and territories where these are regulated activities.</w:t>
      </w:r>
    </w:p>
    <w:p w:rsidR="00000000" w:rsidRPr="00B16C72" w:rsidP="00B16C72">
      <w:pPr>
        <w:pStyle w:val="Heading1"/>
      </w:pPr>
      <w:bookmarkStart w:id="3" w:name="O_1162341"/>
      <w:bookmarkEnd w:id="3"/>
      <w:r w:rsidRPr="00B16C72">
        <w:t>Pre-requisite Unit</w:t>
      </w:r>
    </w:p>
    <w:p w:rsidR="00000000" w:rsidRPr="00B16C72" w:rsidP="004F59DF">
      <w:pPr>
        <w:pStyle w:val="BodyText"/>
      </w:pPr>
      <w:r w:rsidRPr="00B16C72">
        <w:t>Nil</w:t>
      </w:r>
    </w:p>
    <w:p w:rsidR="00000000" w:rsidRPr="00B16C72" w:rsidP="00B16C72">
      <w:pPr>
        <w:pStyle w:val="Heading1"/>
      </w:pPr>
      <w:bookmarkStart w:id="4" w:name="O_1162340"/>
      <w:bookmarkEnd w:id="4"/>
      <w:r w:rsidRPr="00B16C72">
        <w:t>Unit Sector</w:t>
      </w:r>
    </w:p>
    <w:p w:rsidR="00000000" w:rsidRPr="00B16C72" w:rsidP="004F59DF">
      <w:pPr>
        <w:pStyle w:val="BodyText"/>
      </w:pPr>
      <w:r w:rsidRPr="00B16C72">
        <w:t>Security operations</w:t>
      </w:r>
    </w:p>
    <w:p w:rsidR="00000000" w:rsidRPr="00B16C72" w:rsidP="00B16C72">
      <w:pPr>
        <w:pStyle w:val="Heading1"/>
      </w:pPr>
      <w:bookmarkStart w:id="5" w:name="O_1162339"/>
      <w:bookmarkEnd w:id="5"/>
      <w:r w:rsidRPr="00B16C72">
        <w:t>Elements and Performanc</w:t>
      </w:r>
      <w:r w:rsidRPr="00B16C72">
        <w:t>e Criteria</w:t>
      </w:r>
    </w:p>
    <w:tbl>
      <w:tblPr>
        <w:tblW w:w="0" w:type="auto"/>
        <w:tblLayout w:type="fixed"/>
        <w:tblCellMar>
          <w:left w:w="62" w:type="dxa"/>
          <w:right w:w="62" w:type="dxa"/>
        </w:tblCellMar>
        <w:tblLook w:val="0000"/>
      </w:tblPr>
      <w:tblGrid>
        <w:gridCol w:w="2380"/>
        <w:gridCol w:w="6615"/>
      </w:tblGrid>
      <w:tr w:rsidTr="00B16C72">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C72">
            <w:pPr>
              <w:pStyle w:val="BodyText"/>
              <w:rPr>
                <w:lang w:val="en-NZ"/>
              </w:rPr>
            </w:pPr>
            <w:r w:rsidRPr="00B16C72">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C72">
            <w:pPr>
              <w:pStyle w:val="BodyText"/>
              <w:rPr>
                <w:lang w:val="en-NZ"/>
              </w:rPr>
            </w:pPr>
            <w:r w:rsidRPr="00B16C72">
              <w:t>Performance criteria describe what needs to be done to demonstrate achievement of the element.</w:t>
            </w:r>
          </w:p>
        </w:tc>
      </w:tr>
      <w:tr w:rsidTr="00B16C72">
        <w:tblPrEx>
          <w:tblW w:w="0" w:type="auto"/>
          <w:tblLayout w:type="fixed"/>
          <w:tblCellMar>
            <w:left w:w="62" w:type="dxa"/>
            <w:right w:w="62" w:type="dxa"/>
          </w:tblCellMar>
          <w:tblLook w:val="0000"/>
        </w:tblPrEx>
        <w:trPr>
          <w:trHeight w:val="20"/>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6C72">
            <w:pPr>
              <w:pStyle w:val="BodyText"/>
              <w:rPr>
                <w:lang w:val="en-NZ"/>
              </w:rPr>
            </w:pPr>
            <w:r w:rsidRPr="00B16C72">
              <w:t>1.</w:t>
            </w:r>
            <w:r w:rsidRPr="00B16C72">
              <w:tab/>
              <w:t>Follow WHS procedures and prepare for emergency response.</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16C72" w:rsidP="00B16C72">
            <w:pPr>
              <w:pStyle w:val="BodyText"/>
            </w:pPr>
            <w:r w:rsidRPr="00B16C72">
              <w:t>1.1</w:t>
            </w:r>
            <w:r w:rsidRPr="00B16C72">
              <w:tab/>
            </w:r>
            <w:r w:rsidRPr="00B16C72">
              <w:t>Read WHS and emergency procedures and workplace policies and apply to work tasks to ensure compliance with legal rights and responsibilities.</w:t>
            </w:r>
          </w:p>
          <w:p w:rsidR="00000000" w:rsidRPr="00B16C72" w:rsidP="00B16C72">
            <w:pPr>
              <w:pStyle w:val="BodyText"/>
            </w:pPr>
            <w:r w:rsidRPr="00B16C72">
              <w:t>1.2</w:t>
            </w:r>
            <w:r w:rsidRPr="00B16C72">
              <w:tab/>
              <w:t>Clarify emergency procedures, personal authority and response limitations with relevant persons.</w:t>
            </w:r>
          </w:p>
          <w:p w:rsidR="00000000" w:rsidRPr="00B16C72" w:rsidP="00B16C72">
            <w:pPr>
              <w:pStyle w:val="BodyText"/>
            </w:pPr>
            <w:r w:rsidRPr="00B16C72">
              <w:t>1.3</w:t>
            </w:r>
            <w:r w:rsidRPr="00B16C72">
              <w:tab/>
              <w:t xml:space="preserve">Identify </w:t>
            </w:r>
            <w:r w:rsidRPr="00B16C72">
              <w:t>and locate emergency resources and instructions within the workplace.</w:t>
            </w:r>
          </w:p>
          <w:p w:rsidR="00000000" w:rsidP="00B16C72">
            <w:pPr>
              <w:pStyle w:val="BodyText"/>
              <w:rPr>
                <w:lang w:val="en-NZ"/>
              </w:rPr>
            </w:pPr>
            <w:r w:rsidRPr="00B16C72">
              <w:t>1.4</w:t>
            </w:r>
            <w:r w:rsidRPr="00B16C72">
              <w:tab/>
              <w:t>Select and use communications and personal protective equipment (PPE) to follow safe work practices.</w:t>
            </w:r>
          </w:p>
        </w:tc>
      </w:tr>
      <w:tr w:rsidTr="00B16C72">
        <w:tblPrEx>
          <w:tblW w:w="0" w:type="auto"/>
          <w:tblLayout w:type="fixed"/>
          <w:tblCellMar>
            <w:left w:w="62" w:type="dxa"/>
            <w:right w:w="62" w:type="dxa"/>
          </w:tblCellMar>
          <w:tblLook w:val="0000"/>
        </w:tblPrEx>
        <w:trPr>
          <w:trHeight w:val="20"/>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6C72">
            <w:pPr>
              <w:pStyle w:val="BodyText"/>
              <w:rPr>
                <w:lang w:val="en-NZ"/>
              </w:rPr>
            </w:pPr>
            <w:r w:rsidRPr="00B16C72">
              <w:t>2.</w:t>
            </w:r>
            <w:r w:rsidRPr="00B16C72">
              <w:tab/>
              <w:t>Identify, assess and control security hazards and risks.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16C72" w:rsidP="00B16C72">
            <w:pPr>
              <w:pStyle w:val="BodyText"/>
            </w:pPr>
            <w:r w:rsidRPr="00B16C72">
              <w:t>2.1</w:t>
            </w:r>
            <w:r w:rsidRPr="00B16C72">
              <w:tab/>
              <w:t>Identify hazards</w:t>
            </w:r>
            <w:r w:rsidRPr="00B16C72">
              <w:t xml:space="preserve"> in the work area and assess security risks.</w:t>
            </w:r>
          </w:p>
          <w:p w:rsidR="00000000" w:rsidRPr="00B16C72" w:rsidP="00B16C72">
            <w:pPr>
              <w:pStyle w:val="BodyText"/>
            </w:pPr>
            <w:r w:rsidRPr="00B16C72">
              <w:t>2.2</w:t>
            </w:r>
            <w:r w:rsidRPr="00B16C72">
              <w:tab/>
              <w:t>Report hazards and risks immediately to relevant persons following workplace procedures.</w:t>
            </w:r>
          </w:p>
          <w:p w:rsidR="00000000" w:rsidP="00B16C72">
            <w:pPr>
              <w:pStyle w:val="BodyText"/>
              <w:rPr>
                <w:lang w:val="en-NZ"/>
              </w:rPr>
            </w:pPr>
            <w:r w:rsidRPr="00B16C72">
              <w:t>2.3</w:t>
            </w:r>
            <w:r w:rsidRPr="00B16C72">
              <w:tab/>
              <w:t>Use the hierarchy of control to select and apply appropriate methods to control the hazard or minimise risk as far</w:t>
            </w:r>
            <w:r w:rsidRPr="00B16C72">
              <w:t xml:space="preserve"> as possible within limits of own authority.</w:t>
            </w:r>
          </w:p>
        </w:tc>
      </w:tr>
      <w:tr w:rsidTr="00B16C72">
        <w:tblPrEx>
          <w:tblW w:w="0" w:type="auto"/>
          <w:tblLayout w:type="fixed"/>
          <w:tblCellMar>
            <w:left w:w="62" w:type="dxa"/>
            <w:right w:w="62" w:type="dxa"/>
          </w:tblCellMar>
          <w:tblLook w:val="0000"/>
        </w:tblPrEx>
        <w:trPr>
          <w:trHeight w:val="20"/>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6C72">
            <w:pPr>
              <w:pStyle w:val="BodyText"/>
              <w:rPr>
                <w:lang w:val="en-NZ"/>
              </w:rPr>
            </w:pPr>
            <w:r w:rsidRPr="00B16C72">
              <w:t>3.</w:t>
            </w:r>
            <w:r w:rsidRPr="00B16C72">
              <w:tab/>
              <w:t>Identify and respond to emergency situation.</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16C72" w:rsidP="00B16C72">
            <w:pPr>
              <w:pStyle w:val="BodyText"/>
            </w:pPr>
            <w:r w:rsidRPr="00B16C72">
              <w:t>3.1</w:t>
            </w:r>
            <w:r w:rsidRPr="00B16C72">
              <w:tab/>
              <w:t>Identify emergency situation and promptly notify emergency personnel and relevant persons.</w:t>
            </w:r>
          </w:p>
          <w:p w:rsidR="00000000" w:rsidRPr="00B16C72" w:rsidP="00B16C72">
            <w:pPr>
              <w:pStyle w:val="BodyText"/>
            </w:pPr>
            <w:r w:rsidRPr="00B16C72">
              <w:t>3.2</w:t>
            </w:r>
            <w:r w:rsidRPr="00B16C72">
              <w:tab/>
              <w:t>Follow emergency response procedures and comply with instructio</w:t>
            </w:r>
            <w:r w:rsidRPr="00B16C72">
              <w:t>ns to maintain security within limits of own competence and authority.</w:t>
            </w:r>
          </w:p>
          <w:p w:rsidR="00000000" w:rsidRPr="00B16C72" w:rsidP="00B16C72">
            <w:pPr>
              <w:pStyle w:val="BodyText"/>
            </w:pPr>
            <w:r w:rsidRPr="00B16C72">
              <w:t>3.3</w:t>
            </w:r>
            <w:r w:rsidRPr="00B16C72">
              <w:tab/>
              <w:t>Seek information from relevant persons to maintain situational awareness.</w:t>
            </w:r>
          </w:p>
          <w:p w:rsidR="00000000" w:rsidRPr="00B16C72" w:rsidP="00B16C72">
            <w:pPr>
              <w:pStyle w:val="BodyText"/>
            </w:pPr>
            <w:r w:rsidRPr="00B16C72">
              <w:t>3.4</w:t>
            </w:r>
            <w:r w:rsidRPr="00B16C72">
              <w:tab/>
              <w:t>Identify need to evacuate from the work area according to nature of emergency and immediate danger leve</w:t>
            </w:r>
            <w:r w:rsidRPr="00B16C72">
              <w:t>l.</w:t>
            </w:r>
          </w:p>
          <w:p w:rsidR="00000000" w:rsidRPr="00B16C72" w:rsidP="00B16C72">
            <w:pPr>
              <w:pStyle w:val="BodyText"/>
            </w:pPr>
            <w:r w:rsidRPr="00B16C72">
              <w:t>3.5</w:t>
            </w:r>
            <w:r w:rsidRPr="00B16C72">
              <w:tab/>
              <w:t xml:space="preserve">Select safe evacuation pathway and methods following </w:t>
            </w:r>
            <w:r w:rsidRPr="00B16C72">
              <w:t>emergency procedures and instructions and modify evacuation pathway as required.</w:t>
            </w:r>
          </w:p>
          <w:p w:rsidR="00000000" w:rsidRPr="00B16C72" w:rsidP="00B16C72">
            <w:pPr>
              <w:pStyle w:val="BodyText"/>
            </w:pPr>
            <w:r w:rsidRPr="00B16C72">
              <w:t>3.6</w:t>
            </w:r>
            <w:r w:rsidRPr="00B16C72">
              <w:tab/>
              <w:t>Communicate regularly with relevant persons and others in the work area to give and receive instructions.</w:t>
            </w:r>
          </w:p>
          <w:p w:rsidR="00000000" w:rsidP="00B16C72">
            <w:pPr>
              <w:pStyle w:val="BodyText"/>
              <w:rPr>
                <w:lang w:val="en-NZ"/>
              </w:rPr>
            </w:pPr>
            <w:r w:rsidRPr="00B16C72">
              <w:t>3.7</w:t>
            </w:r>
            <w:r w:rsidRPr="00B16C72">
              <w:tab/>
            </w:r>
            <w:r w:rsidRPr="00B16C72">
              <w:t>Evacuate work area following emergency procedures.</w:t>
            </w:r>
          </w:p>
        </w:tc>
      </w:tr>
      <w:tr w:rsidTr="00B16C72">
        <w:tblPrEx>
          <w:tblW w:w="0" w:type="auto"/>
          <w:tblLayout w:type="fixed"/>
          <w:tblCellMar>
            <w:left w:w="62" w:type="dxa"/>
            <w:right w:w="62" w:type="dxa"/>
          </w:tblCellMar>
          <w:tblLook w:val="0000"/>
        </w:tblPrEx>
        <w:trPr>
          <w:trHeight w:val="20"/>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C72">
            <w:pPr>
              <w:pStyle w:val="BodyText"/>
              <w:rPr>
                <w:lang w:val="en-NZ"/>
              </w:rPr>
            </w:pPr>
            <w:r w:rsidRPr="00B16C72">
              <w:t>4.</w:t>
            </w:r>
            <w:r w:rsidRPr="00B16C72">
              <w:tab/>
              <w:t>Complete documentation and assist review of emergency response.</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C72" w:rsidP="00B16C72">
            <w:pPr>
              <w:pStyle w:val="BodyText"/>
            </w:pPr>
            <w:r w:rsidRPr="00B16C72">
              <w:t>4.1</w:t>
            </w:r>
            <w:r w:rsidRPr="00B16C72">
              <w:tab/>
              <w:t>Record details of identified hazards, risks and incidents using workplace documentation.</w:t>
            </w:r>
          </w:p>
          <w:p w:rsidR="00000000" w:rsidRPr="00B16C72" w:rsidP="00B16C72">
            <w:pPr>
              <w:pStyle w:val="BodyText"/>
            </w:pPr>
            <w:r w:rsidRPr="00B16C72">
              <w:t>4.2</w:t>
            </w:r>
            <w:r w:rsidRPr="00B16C72">
              <w:tab/>
              <w:t>Discuss WHS arrangements and emergency r</w:t>
            </w:r>
            <w:r w:rsidRPr="00B16C72">
              <w:t>esponse with relevant persons to seek feedback, exchange information and identify procedural improvements.</w:t>
            </w:r>
          </w:p>
        </w:tc>
      </w:tr>
    </w:tbl>
    <w:p w:rsidR="00000000" w:rsidRPr="00B16C72" w:rsidP="00B16C72">
      <w:pPr>
        <w:pStyle w:val="BodyText"/>
      </w:pPr>
    </w:p>
    <w:p w:rsidR="00000000" w:rsidRPr="00B16C72" w:rsidP="00B16C72">
      <w:pPr>
        <w:pStyle w:val="AllowPageBreak"/>
      </w:pPr>
    </w:p>
    <w:p w:rsidR="00000000" w:rsidRPr="00B16C72" w:rsidP="00B16C72">
      <w:pPr>
        <w:pStyle w:val="Heading1"/>
      </w:pPr>
      <w:bookmarkStart w:id="6" w:name="O_1162338"/>
      <w:bookmarkEnd w:id="6"/>
      <w:r w:rsidRPr="00B16C72">
        <w:t>Foundation Skills</w:t>
      </w:r>
    </w:p>
    <w:p w:rsidR="00000000" w:rsidRPr="00B16C72" w:rsidP="004F59DF">
      <w:pPr>
        <w:pStyle w:val="BodyText"/>
      </w:pPr>
      <w:r w:rsidRPr="00B16C72">
        <w:t>This section describes the language, literacy, numeracy and employment skills essential to performance in this</w:t>
      </w:r>
      <w:r w:rsidRPr="00B16C72">
        <w:t xml:space="preserve"> unit but not explicit in the performance criteria:</w:t>
      </w:r>
    </w:p>
    <w:p w:rsidR="00000000" w:rsidRPr="00B16C72" w:rsidP="00B16C72">
      <w:pPr>
        <w:pStyle w:val="ListBullet"/>
      </w:pPr>
      <w:r w:rsidRPr="00B16C72">
        <w:t>language skills to provide information or advice in a form that is preferred and understood by the receiver</w:t>
      </w:r>
    </w:p>
    <w:p w:rsidR="00000000" w:rsidRPr="00B16C72" w:rsidP="00B16C72">
      <w:pPr>
        <w:pStyle w:val="ListBullet"/>
      </w:pPr>
      <w:r w:rsidRPr="00B16C72">
        <w:t>writing skills to record and describe observations, actions, hazards, risks and incidents, and to complete forms</w:t>
      </w:r>
    </w:p>
    <w:p w:rsidR="00000000" w:rsidRPr="00B16C72" w:rsidP="00B16C72">
      <w:pPr>
        <w:pStyle w:val="ListBullet"/>
      </w:pPr>
      <w:r w:rsidRPr="00B16C72">
        <w:t xml:space="preserve">reading skills to understand and follow: </w:t>
      </w:r>
    </w:p>
    <w:p w:rsidR="00000000" w:rsidRPr="00B16C72" w:rsidP="00B16C72">
      <w:pPr>
        <w:pStyle w:val="ListBullet2"/>
      </w:pPr>
      <w:r w:rsidRPr="00B16C72">
        <w:t>standard operating procedures and policies that clarify legal rights and responsibilities and WHS re</w:t>
      </w:r>
      <w:r w:rsidRPr="00B16C72">
        <w:t>quirements</w:t>
      </w:r>
    </w:p>
    <w:p w:rsidR="00000000" w:rsidRPr="00B16C72" w:rsidP="00B16C72">
      <w:pPr>
        <w:pStyle w:val="ListBullet2"/>
      </w:pPr>
      <w:r w:rsidRPr="00B16C72">
        <w:t>emergency response and evacuation procedures and instructions that may be written in English or in diagrammatic form</w:t>
      </w:r>
    </w:p>
    <w:p w:rsidR="00000000" w:rsidRPr="00B16C72" w:rsidP="00B16C72">
      <w:pPr>
        <w:pStyle w:val="ListBullet"/>
      </w:pPr>
      <w:r w:rsidRPr="00B16C72">
        <w:t>speaking and listening skills to:</w:t>
      </w:r>
    </w:p>
    <w:p w:rsidR="00000000" w:rsidRPr="00B16C72" w:rsidP="00B16C72">
      <w:pPr>
        <w:pStyle w:val="ListBullet2"/>
      </w:pPr>
      <w:r w:rsidRPr="00B16C72">
        <w:t xml:space="preserve">ask questions and listen to answers to seek information and confirm spoken instructions </w:t>
      </w:r>
    </w:p>
    <w:p w:rsidR="00000000" w:rsidRPr="00B16C72" w:rsidP="00B16C72">
      <w:pPr>
        <w:pStyle w:val="ListBullet2"/>
      </w:pPr>
      <w:r w:rsidRPr="00B16C72">
        <w:t>ora</w:t>
      </w:r>
      <w:r w:rsidRPr="00B16C72">
        <w:t xml:space="preserve">lly report WHS and emergency information </w:t>
      </w:r>
    </w:p>
    <w:p w:rsidR="00000000" w:rsidRPr="00B16C72" w:rsidP="00B16C72">
      <w:pPr>
        <w:pStyle w:val="ListBullet2"/>
      </w:pPr>
      <w:r w:rsidRPr="00B16C72">
        <w:t>communicate with emergency services</w:t>
      </w:r>
    </w:p>
    <w:p w:rsidR="00000000" w:rsidRPr="00B16C72" w:rsidP="00B16C72">
      <w:pPr>
        <w:pStyle w:val="ListBullet"/>
      </w:pPr>
      <w:r w:rsidRPr="00B16C72">
        <w:t>numeracy skills to estimate time required to carry out emergency procedures</w:t>
      </w:r>
    </w:p>
    <w:p w:rsidR="00000000" w:rsidRPr="00B16C72" w:rsidP="00B16C72">
      <w:pPr>
        <w:pStyle w:val="ListBullet"/>
      </w:pPr>
      <w:r w:rsidRPr="00B16C72">
        <w:t xml:space="preserve">problem solving skills to adjust evacuation pathways where the usual means of evacuation are blocked </w:t>
      </w:r>
      <w:r w:rsidRPr="00B16C72">
        <w:t>or endangered</w:t>
      </w:r>
    </w:p>
    <w:p w:rsidR="00000000" w:rsidRPr="00B16C72" w:rsidP="00B16C72">
      <w:pPr>
        <w:pStyle w:val="ListBullet"/>
      </w:pPr>
      <w:r w:rsidRPr="00B16C72">
        <w:t>teamwork skills to adjust personal communication styles in response to the opinions, values and needs of others.</w:t>
      </w:r>
    </w:p>
    <w:p w:rsidR="00000000" w:rsidRPr="00B16C72" w:rsidP="00B16C72">
      <w:pPr>
        <w:pStyle w:val="AllowPageBreak"/>
      </w:pPr>
    </w:p>
    <w:p w:rsidR="00000000" w:rsidRPr="00B16C72" w:rsidP="00B16C72">
      <w:pPr>
        <w:pStyle w:val="Heading1"/>
      </w:pPr>
      <w:bookmarkStart w:id="7" w:name="O_1162337"/>
      <w:bookmarkEnd w:id="7"/>
      <w:r w:rsidRPr="00B16C72">
        <w:t>Unit Mapping Information</w:t>
      </w:r>
    </w:p>
    <w:p w:rsidR="00000000" w:rsidRPr="00B16C72" w:rsidP="004F59DF">
      <w:pPr>
        <w:pStyle w:val="BodyText"/>
      </w:pPr>
      <w:r w:rsidRPr="00B16C72">
        <w:t>CPPSEC2103 Apply WHS, emergency response and evacuation procedures to maintain securi</w:t>
      </w:r>
      <w:r w:rsidRPr="00B16C72">
        <w:t>ty supersedes and is equivalent to CPPSEC1004A - Apply health care security procedures.</w:t>
      </w:r>
    </w:p>
    <w:p w:rsidR="00000000" w:rsidRPr="00B16C72" w:rsidP="004F59DF">
      <w:pPr>
        <w:pStyle w:val="BodyText"/>
      </w:pPr>
      <w:r w:rsidRPr="00B16C72">
        <w:t>CPPSEC2103 Apply WHS, emergency response and evacuation procedures to maintain security supersedes and is equivalent to CPPSEC2002A - Follow workplac</w:t>
      </w:r>
      <w:r w:rsidRPr="00B16C72">
        <w:t>e safety procedures in the security industry.</w:t>
      </w:r>
    </w:p>
    <w:p w:rsidR="00000000" w:rsidRPr="00B16C72" w:rsidP="00B16C72">
      <w:pPr>
        <w:pStyle w:val="Heading1"/>
      </w:pPr>
      <w:bookmarkStart w:id="8" w:name="O_1162344"/>
      <w:bookmarkEnd w:id="8"/>
      <w:r w:rsidRPr="00B16C72">
        <w:t>Links</w:t>
      </w:r>
    </w:p>
    <w:p w:rsidR="00000000" w:rsidRPr="00B16C72" w:rsidP="004F59DF">
      <w:pPr>
        <w:pStyle w:val="BodyText"/>
      </w:pPr>
      <w:r w:rsidRPr="00B16C7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22D1F">
        <w:rPr>
          <w:rStyle w:val="Hyperlink"/>
        </w:rPr>
        <w:t>https://vetnet.gov.au/Pages/TrainingDocs.aspx?q=6f3f9672-30e8-4835-b348-205dfcf13d9b</w:t>
      </w:r>
      <w:r>
        <w:fldChar w:fldCharType="end"/>
      </w:r>
    </w:p>
    <w:p w:rsidR="00000000" w:rsidRPr="00B16C72" w:rsidP="00B16C72"/>
    <w:sectPr w:rsidSect="00B16C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72" w:rsidRPr="004F59DF" w:rsidP="004F5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DF" w:rsidP="00B16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9DF" w:rsidP="00B16C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F59DF" w:rsidP="00B16C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C72" w:rsidRPr="004F59DF" w:rsidP="004F5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DF" w:rsidRPr="002D2AF8" w:rsidP="00B16C72">
    <w:pPr>
      <w:pStyle w:val="Header"/>
      <w:framePr w:wrap="around"/>
    </w:pPr>
    <w:r>
      <w:fldChar w:fldCharType="begin"/>
    </w:r>
    <w:r>
      <w:instrText xml:space="preserve"> TITLE   \* MERGEFORMAT </w:instrText>
    </w:r>
    <w:r>
      <w:fldChar w:fldCharType="separate"/>
    </w:r>
    <w:r>
      <w:t>CPPSEC2103 Apply WHS, emergency response and evacuation procedures to maintain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F59DF" w:rsidP="00B16C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E9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CA4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404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C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C72"/>
    <w:pPr>
      <w:spacing w:before="360" w:after="60"/>
      <w:outlineLvl w:val="0"/>
    </w:pPr>
    <w:rPr>
      <w:sz w:val="32"/>
    </w:rPr>
  </w:style>
  <w:style w:type="paragraph" w:styleId="Heading2">
    <w:name w:val="heading 2"/>
    <w:basedOn w:val="HeadingBase"/>
    <w:next w:val="BodyText"/>
    <w:link w:val="Heading2Char"/>
    <w:qFormat/>
    <w:rsid w:val="00B16C72"/>
    <w:pPr>
      <w:keepLines/>
      <w:spacing w:before="240" w:after="120"/>
      <w:outlineLvl w:val="1"/>
    </w:pPr>
    <w:rPr>
      <w:sz w:val="28"/>
      <w:szCs w:val="40"/>
    </w:rPr>
  </w:style>
  <w:style w:type="paragraph" w:styleId="Heading3">
    <w:name w:val="heading 3"/>
    <w:basedOn w:val="HeadingBase"/>
    <w:next w:val="BodyText"/>
    <w:link w:val="Heading3Char"/>
    <w:qFormat/>
    <w:rsid w:val="00B16C72"/>
    <w:pPr>
      <w:spacing w:before="180" w:after="120"/>
      <w:outlineLvl w:val="2"/>
    </w:pPr>
    <w:rPr>
      <w:spacing w:val="-10"/>
      <w:kern w:val="32"/>
    </w:rPr>
  </w:style>
  <w:style w:type="paragraph" w:styleId="Heading4">
    <w:name w:val="heading 4"/>
    <w:basedOn w:val="HeadingBase"/>
    <w:next w:val="BodyText"/>
    <w:link w:val="Heading4Char"/>
    <w:qFormat/>
    <w:rsid w:val="00B16C72"/>
    <w:pPr>
      <w:spacing w:before="160" w:after="120"/>
      <w:outlineLvl w:val="3"/>
    </w:pPr>
    <w:rPr>
      <w:sz w:val="22"/>
    </w:rPr>
  </w:style>
  <w:style w:type="paragraph" w:styleId="Heading5">
    <w:name w:val="heading 5"/>
    <w:basedOn w:val="HeadingBase"/>
    <w:next w:val="Normal"/>
    <w:link w:val="Heading5Char"/>
    <w:qFormat/>
    <w:rsid w:val="00B16C72"/>
    <w:pPr>
      <w:spacing w:before="80"/>
      <w:outlineLvl w:val="4"/>
    </w:pPr>
    <w:rPr>
      <w:color w:val="918585"/>
      <w:sz w:val="20"/>
    </w:rPr>
  </w:style>
  <w:style w:type="paragraph" w:styleId="Heading6">
    <w:name w:val="heading 6"/>
    <w:basedOn w:val="HeadingBase"/>
    <w:next w:val="Normal"/>
    <w:link w:val="Heading6Char"/>
    <w:qFormat/>
    <w:rsid w:val="00B16C72"/>
    <w:pPr>
      <w:spacing w:before="60"/>
      <w:outlineLvl w:val="5"/>
    </w:pPr>
    <w:rPr>
      <w:color w:val="918585"/>
      <w:sz w:val="20"/>
    </w:rPr>
  </w:style>
  <w:style w:type="paragraph" w:styleId="Heading7">
    <w:name w:val="heading 7"/>
    <w:basedOn w:val="Normal"/>
    <w:next w:val="Normal"/>
    <w:link w:val="Heading7Char"/>
    <w:qFormat/>
    <w:rsid w:val="00B16C72"/>
    <w:pPr>
      <w:ind w:left="720"/>
      <w:outlineLvl w:val="6"/>
    </w:pPr>
    <w:rPr>
      <w:i/>
    </w:rPr>
  </w:style>
  <w:style w:type="paragraph" w:styleId="Heading8">
    <w:name w:val="heading 8"/>
    <w:basedOn w:val="Normal"/>
    <w:next w:val="Normal"/>
    <w:link w:val="Heading8Char"/>
    <w:qFormat/>
    <w:rsid w:val="00B16C72"/>
    <w:pPr>
      <w:ind w:left="720"/>
      <w:outlineLvl w:val="7"/>
    </w:pPr>
    <w:rPr>
      <w:i/>
    </w:rPr>
  </w:style>
  <w:style w:type="paragraph" w:styleId="Heading9">
    <w:name w:val="heading 9"/>
    <w:basedOn w:val="Normal"/>
    <w:next w:val="Normal"/>
    <w:link w:val="Heading9Char"/>
    <w:qFormat/>
    <w:rsid w:val="00B16C72"/>
    <w:pPr>
      <w:ind w:left="720"/>
      <w:outlineLvl w:val="8"/>
    </w:pPr>
    <w:rPr>
      <w:i/>
    </w:rPr>
  </w:style>
  <w:style w:type="character" w:default="1" w:styleId="DefaultParagraphFont">
    <w:name w:val="Default Paragraph Font"/>
    <w:uiPriority w:val="1"/>
    <w:unhideWhenUsed/>
    <w:rsid w:val="00B16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C72"/>
  </w:style>
  <w:style w:type="character" w:customStyle="1" w:styleId="Heading1Char">
    <w:name w:val="Heading 1 Char"/>
    <w:basedOn w:val="DefaultParagraphFont"/>
    <w:link w:val="Heading1"/>
    <w:rsid w:val="00B16C72"/>
    <w:rPr>
      <w:rFonts w:ascii="Times New Roman" w:eastAsia="Times New Roman" w:hAnsi="Times New Roman" w:cs="Times New Roman"/>
      <w:b/>
      <w:sz w:val="32"/>
      <w:szCs w:val="20"/>
      <w:lang w:eastAsia="en-US"/>
    </w:rPr>
  </w:style>
  <w:style w:type="paragraph" w:styleId="BodyText">
    <w:name w:val="Body Text"/>
    <w:basedOn w:val="Normal"/>
    <w:link w:val="BodyTextChar"/>
    <w:rsid w:val="00B16C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C72"/>
    <w:rPr>
      <w:rFonts w:ascii="Times New Roman" w:eastAsia="Times New Roman" w:hAnsi="Times New Roman" w:cs="Times New Roman"/>
      <w:sz w:val="24"/>
      <w:lang w:eastAsia="en-US"/>
    </w:rPr>
  </w:style>
  <w:style w:type="paragraph" w:styleId="ListBullet">
    <w:name w:val="List Bullet"/>
    <w:basedOn w:val="List"/>
    <w:rsid w:val="00B16C72"/>
    <w:pPr>
      <w:numPr>
        <w:numId w:val="12"/>
      </w:numPr>
      <w:tabs>
        <w:tab w:val="clear" w:pos="340"/>
      </w:tabs>
      <w:spacing w:before="40" w:after="40"/>
    </w:pPr>
  </w:style>
  <w:style w:type="paragraph" w:styleId="ListBullet2">
    <w:name w:val="List Bullet 2"/>
    <w:basedOn w:val="List2"/>
    <w:rsid w:val="00B16C72"/>
    <w:pPr>
      <w:numPr>
        <w:numId w:val="13"/>
      </w:numPr>
      <w:tabs>
        <w:tab w:val="clear" w:pos="680"/>
      </w:tabs>
    </w:pPr>
  </w:style>
  <w:style w:type="paragraph" w:customStyle="1" w:styleId="SuperHeading">
    <w:name w:val="SuperHeading"/>
    <w:basedOn w:val="Normal"/>
    <w:rsid w:val="00B16C72"/>
    <w:pPr>
      <w:spacing w:before="240" w:after="120"/>
      <w:outlineLvl w:val="0"/>
    </w:pPr>
    <w:rPr>
      <w:rFonts w:ascii="Times New Roman" w:hAnsi="Times New Roman"/>
      <w:b/>
      <w:sz w:val="32"/>
    </w:rPr>
  </w:style>
  <w:style w:type="paragraph" w:customStyle="1" w:styleId="AllowPageBreak">
    <w:name w:val="AllowPageBreak"/>
    <w:rsid w:val="00B16C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C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C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C72"/>
    <w:rPr>
      <w:rFonts w:ascii="Courier New" w:eastAsia="Times New Roman" w:hAnsi="Courier New" w:cs="Times New Roman"/>
      <w:i/>
      <w:szCs w:val="20"/>
      <w:lang w:eastAsia="en-US"/>
    </w:rPr>
  </w:style>
  <w:style w:type="paragraph" w:customStyle="1" w:styleId="HeadingBase">
    <w:name w:val="Heading Base"/>
    <w:rsid w:val="00B16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C72"/>
    <w:pPr>
      <w:tabs>
        <w:tab w:val="right" w:leader="dot" w:pos="9072"/>
      </w:tabs>
      <w:ind w:left="567"/>
    </w:pPr>
    <w:rPr>
      <w:szCs w:val="22"/>
    </w:rPr>
  </w:style>
  <w:style w:type="paragraph" w:customStyle="1" w:styleId="TOCBase">
    <w:name w:val="TOC Base"/>
    <w:rsid w:val="00B16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C72"/>
    <w:pPr>
      <w:tabs>
        <w:tab w:val="right" w:leader="dot" w:pos="9072"/>
      </w:tabs>
      <w:spacing w:before="40" w:after="40"/>
      <w:ind w:left="284"/>
    </w:pPr>
    <w:rPr>
      <w:rFonts w:ascii="Times New Roman" w:hAnsi="Times New Roman"/>
    </w:rPr>
  </w:style>
  <w:style w:type="paragraph" w:styleId="TOC1">
    <w:name w:val="toc 1"/>
    <w:basedOn w:val="TOCBase"/>
    <w:next w:val="Normal"/>
    <w:rsid w:val="00B16C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C72"/>
    <w:rPr>
      <w:rFonts w:ascii="Times New Roman" w:eastAsia="Times New Roman" w:hAnsi="Times New Roman" w:cs="Times New Roman"/>
      <w:sz w:val="16"/>
      <w:lang w:eastAsia="en-US"/>
    </w:rPr>
  </w:style>
  <w:style w:type="paragraph" w:styleId="Title">
    <w:name w:val="Title"/>
    <w:basedOn w:val="HeadingBase"/>
    <w:link w:val="TitleChar"/>
    <w:qFormat/>
    <w:rsid w:val="00B16C72"/>
    <w:pPr>
      <w:spacing w:before="5040"/>
      <w:jc w:val="center"/>
    </w:pPr>
    <w:rPr>
      <w:sz w:val="48"/>
      <w:szCs w:val="72"/>
      <w:lang w:val="en-US"/>
    </w:rPr>
  </w:style>
  <w:style w:type="character" w:customStyle="1" w:styleId="TitleChar">
    <w:name w:val="Title Char"/>
    <w:basedOn w:val="DefaultParagraphFont"/>
    <w:link w:val="Title"/>
    <w:rsid w:val="00B16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C72"/>
    <w:pPr>
      <w:tabs>
        <w:tab w:val="left" w:pos="3600"/>
        <w:tab w:val="left" w:pos="3958"/>
      </w:tabs>
    </w:pPr>
  </w:style>
  <w:style w:type="paragraph" w:styleId="List">
    <w:name w:val="List"/>
    <w:basedOn w:val="BodyText"/>
    <w:next w:val="BodyText"/>
    <w:rsid w:val="00B16C72"/>
    <w:pPr>
      <w:tabs>
        <w:tab w:val="left" w:pos="340"/>
      </w:tabs>
      <w:spacing w:before="60" w:after="60"/>
      <w:ind w:left="340" w:hanging="340"/>
    </w:pPr>
  </w:style>
  <w:style w:type="paragraph" w:customStyle="1" w:styleId="Note">
    <w:name w:val="Note"/>
    <w:basedOn w:val="BodyText"/>
    <w:rsid w:val="00B16C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6C72"/>
    <w:rPr>
      <w:b/>
      <w:spacing w:val="0"/>
    </w:rPr>
  </w:style>
  <w:style w:type="paragraph" w:customStyle="1" w:styleId="SuperTitle">
    <w:name w:val="SuperTitle"/>
    <w:basedOn w:val="Title"/>
    <w:rsid w:val="00B16C72"/>
    <w:pPr>
      <w:framePr w:wrap="auto" w:hAnchor="text" w:y="6049"/>
    </w:pPr>
    <w:rPr>
      <w:color w:val="000000"/>
      <w:sz w:val="40"/>
    </w:rPr>
  </w:style>
  <w:style w:type="paragraph" w:customStyle="1" w:styleId="TOCTitle">
    <w:name w:val="TOCTitle"/>
    <w:basedOn w:val="Heading1"/>
    <w:rsid w:val="00B16C72"/>
    <w:pPr>
      <w:spacing w:after="240"/>
      <w:jc w:val="center"/>
      <w:outlineLvl w:val="9"/>
    </w:pPr>
    <w:rPr>
      <w:caps/>
    </w:rPr>
  </w:style>
  <w:style w:type="paragraph" w:customStyle="1" w:styleId="Version">
    <w:name w:val="Version"/>
    <w:rsid w:val="00B16C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C72"/>
    <w:pPr>
      <w:keepNext w:val="0"/>
      <w:tabs>
        <w:tab w:val="right" w:pos="4176"/>
      </w:tabs>
      <w:ind w:left="198" w:hanging="198"/>
    </w:pPr>
    <w:rPr>
      <w:rFonts w:ascii="Garamond" w:hAnsi="Garamond"/>
    </w:rPr>
  </w:style>
  <w:style w:type="paragraph" w:styleId="IndexHeading">
    <w:name w:val="index heading"/>
    <w:basedOn w:val="Normal"/>
    <w:next w:val="Index1"/>
    <w:semiHidden/>
    <w:rsid w:val="00B16C72"/>
    <w:pPr>
      <w:spacing w:before="120" w:after="120"/>
    </w:pPr>
    <w:rPr>
      <w:rFonts w:ascii="Arial" w:hAnsi="Arial"/>
      <w:b/>
      <w:color w:val="918585"/>
      <w:sz w:val="24"/>
    </w:rPr>
  </w:style>
  <w:style w:type="paragraph" w:styleId="Header">
    <w:name w:val="header"/>
    <w:basedOn w:val="Normal"/>
    <w:link w:val="HeaderChar"/>
    <w:rsid w:val="00B16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C72"/>
    <w:rPr>
      <w:rFonts w:ascii="Times New Roman" w:eastAsia="Times New Roman" w:hAnsi="Times New Roman" w:cs="Times New Roman"/>
      <w:sz w:val="16"/>
      <w:szCs w:val="20"/>
      <w:lang w:val="en-GB" w:eastAsia="en-US"/>
    </w:rPr>
  </w:style>
  <w:style w:type="paragraph" w:customStyle="1" w:styleId="Chapter">
    <w:name w:val="Chapter"/>
    <w:basedOn w:val="Normal"/>
    <w:rsid w:val="00B16C72"/>
    <w:pPr>
      <w:spacing w:before="240"/>
    </w:pPr>
    <w:rPr>
      <w:rFonts w:ascii="Times New Roman" w:hAnsi="Times New Roman"/>
      <w:smallCaps/>
      <w:spacing w:val="80"/>
      <w:sz w:val="28"/>
    </w:rPr>
  </w:style>
  <w:style w:type="paragraph" w:customStyle="1" w:styleId="InChapter">
    <w:name w:val="InChapter"/>
    <w:basedOn w:val="Heading3"/>
    <w:rsid w:val="00B16C72"/>
    <w:pPr>
      <w:spacing w:after="240"/>
      <w:outlineLvl w:val="9"/>
    </w:pPr>
    <w:rPr>
      <w:noProof/>
    </w:rPr>
  </w:style>
  <w:style w:type="paragraph" w:styleId="Index2">
    <w:name w:val="index 2"/>
    <w:basedOn w:val="Normal"/>
    <w:next w:val="Normal"/>
    <w:semiHidden/>
    <w:rsid w:val="00B16C72"/>
    <w:pPr>
      <w:tabs>
        <w:tab w:val="right" w:pos="4176"/>
      </w:tabs>
      <w:ind w:left="568" w:hanging="284"/>
    </w:pPr>
    <w:rPr>
      <w:rFonts w:ascii="Garamond" w:hAnsi="Garamond"/>
    </w:rPr>
  </w:style>
  <w:style w:type="paragraph" w:customStyle="1" w:styleId="Byline">
    <w:name w:val="Byline"/>
    <w:rsid w:val="00B16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C72"/>
    <w:pPr>
      <w:tabs>
        <w:tab w:val="clear" w:pos="3600"/>
        <w:tab w:val="clear" w:pos="3958"/>
      </w:tabs>
      <w:jc w:val="right"/>
    </w:pPr>
  </w:style>
  <w:style w:type="character" w:styleId="Emphasis">
    <w:name w:val="Emphasis"/>
    <w:basedOn w:val="DefaultParagraphFont"/>
    <w:qFormat/>
    <w:rsid w:val="00B16C72"/>
    <w:rPr>
      <w:i/>
    </w:rPr>
  </w:style>
  <w:style w:type="paragraph" w:styleId="Caption">
    <w:name w:val="caption"/>
    <w:basedOn w:val="BodyText"/>
    <w:next w:val="Normal"/>
    <w:qFormat/>
    <w:rsid w:val="00B16C72"/>
    <w:pPr>
      <w:framePr w:w="2268" w:hSpace="181" w:vSpace="181" w:wrap="around" w:vAnchor="text" w:hAnchor="page" w:x="1135" w:y="285" w:anchorLock="1"/>
    </w:pPr>
    <w:rPr>
      <w:i/>
    </w:rPr>
  </w:style>
  <w:style w:type="paragraph" w:customStyle="1" w:styleId="MiniTOCTitle">
    <w:name w:val="MiniTOCTitle"/>
    <w:basedOn w:val="Heading4"/>
    <w:rsid w:val="00B16C72"/>
    <w:pPr>
      <w:spacing w:before="240"/>
      <w:outlineLvl w:val="9"/>
    </w:pPr>
    <w:rPr>
      <w:noProof/>
      <w:sz w:val="24"/>
    </w:rPr>
  </w:style>
  <w:style w:type="paragraph" w:customStyle="1" w:styleId="MiniTOCItem">
    <w:name w:val="MiniTOCItem"/>
    <w:basedOn w:val="ListBullet"/>
    <w:rsid w:val="00B16C72"/>
    <w:pPr>
      <w:numPr>
        <w:numId w:val="0"/>
      </w:numPr>
      <w:tabs>
        <w:tab w:val="right" w:leader="dot" w:pos="6521"/>
      </w:tabs>
      <w:spacing w:before="0" w:after="0"/>
    </w:pPr>
  </w:style>
  <w:style w:type="paragraph" w:customStyle="1" w:styleId="TOFTitle">
    <w:name w:val="TOFTitle"/>
    <w:basedOn w:val="TOCTitle"/>
    <w:rsid w:val="00B16C72"/>
  </w:style>
  <w:style w:type="paragraph" w:styleId="TableofFigures">
    <w:name w:val="table of figures"/>
    <w:basedOn w:val="Normal"/>
    <w:next w:val="Normal"/>
    <w:semiHidden/>
    <w:rsid w:val="00B16C72"/>
    <w:pPr>
      <w:tabs>
        <w:tab w:val="right" w:leader="dot" w:pos="9072"/>
      </w:tabs>
      <w:ind w:left="970" w:hanging="403"/>
    </w:pPr>
    <w:rPr>
      <w:rFonts w:ascii="Times New Roman" w:hAnsi="Times New Roman"/>
      <w:b/>
    </w:rPr>
  </w:style>
  <w:style w:type="paragraph" w:styleId="ListNumber">
    <w:name w:val="List Number"/>
    <w:basedOn w:val="List"/>
    <w:rsid w:val="00B16C72"/>
    <w:pPr>
      <w:numPr>
        <w:numId w:val="15"/>
      </w:numPr>
      <w:tabs>
        <w:tab w:val="clear" w:pos="340"/>
      </w:tabs>
    </w:pPr>
  </w:style>
  <w:style w:type="character" w:customStyle="1" w:styleId="WingdingSymbols">
    <w:name w:val="Wingding Symbols"/>
    <w:rsid w:val="00B16C72"/>
    <w:rPr>
      <w:rFonts w:ascii="Wingdings" w:hAnsi="Wingdings"/>
    </w:rPr>
  </w:style>
  <w:style w:type="paragraph" w:customStyle="1" w:styleId="TableHeading">
    <w:name w:val="Table Heading"/>
    <w:basedOn w:val="HeadingBase"/>
    <w:rsid w:val="00B16C72"/>
    <w:pPr>
      <w:keepLines/>
      <w:pBdr>
        <w:bottom w:val="single" w:sz="6" w:space="1" w:color="918585"/>
      </w:pBdr>
      <w:spacing w:before="240"/>
    </w:pPr>
  </w:style>
  <w:style w:type="character" w:customStyle="1" w:styleId="HotSpot">
    <w:name w:val="HotSpot"/>
    <w:rsid w:val="00B16C72"/>
    <w:rPr>
      <w:color w:val="0033CC"/>
      <w:u w:val="none"/>
    </w:rPr>
  </w:style>
  <w:style w:type="paragraph" w:customStyle="1" w:styleId="BodyTextRight">
    <w:name w:val="Body Text Right"/>
    <w:basedOn w:val="BodyText"/>
    <w:rsid w:val="00B16C72"/>
    <w:pPr>
      <w:spacing w:before="0" w:after="0"/>
      <w:jc w:val="right"/>
    </w:pPr>
  </w:style>
  <w:style w:type="paragraph" w:styleId="Index3">
    <w:name w:val="index 3"/>
    <w:basedOn w:val="ListNumber2"/>
    <w:next w:val="Normal"/>
    <w:semiHidden/>
    <w:rsid w:val="00B16C72"/>
    <w:pPr>
      <w:numPr>
        <w:numId w:val="0"/>
      </w:numPr>
      <w:tabs>
        <w:tab w:val="right" w:leader="dot" w:pos="4176"/>
      </w:tabs>
    </w:pPr>
  </w:style>
  <w:style w:type="paragraph" w:styleId="ListNumber2">
    <w:name w:val="List Number 2"/>
    <w:basedOn w:val="List2"/>
    <w:rsid w:val="00B16C72"/>
    <w:pPr>
      <w:numPr>
        <w:numId w:val="10"/>
      </w:numPr>
      <w:tabs>
        <w:tab w:val="clear" w:pos="1060"/>
      </w:tabs>
    </w:pPr>
  </w:style>
  <w:style w:type="paragraph" w:customStyle="1" w:styleId="MarginNote">
    <w:name w:val="Margin Note"/>
    <w:basedOn w:val="BodyText"/>
    <w:rsid w:val="00B16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C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C72"/>
    <w:rPr>
      <w:sz w:val="32"/>
    </w:rPr>
  </w:style>
  <w:style w:type="paragraph" w:customStyle="1" w:styleId="HeadingProcedure">
    <w:name w:val="Heading Procedure"/>
    <w:basedOn w:val="HeadingBase"/>
    <w:next w:val="Normal"/>
    <w:rsid w:val="00B16C72"/>
    <w:pPr>
      <w:tabs>
        <w:tab w:val="left" w:pos="0"/>
      </w:tabs>
      <w:spacing w:before="120" w:after="60"/>
    </w:pPr>
    <w:rPr>
      <w:i/>
      <w:color w:val="918585"/>
      <w:sz w:val="22"/>
    </w:rPr>
  </w:style>
  <w:style w:type="paragraph" w:customStyle="1" w:styleId="TableBodyText">
    <w:name w:val="Table Body Text"/>
    <w:basedOn w:val="BodyText"/>
    <w:rsid w:val="00B16C72"/>
    <w:pPr>
      <w:spacing w:before="60" w:after="60"/>
    </w:pPr>
  </w:style>
  <w:style w:type="paragraph" w:styleId="ListContinue">
    <w:name w:val="List Continue"/>
    <w:basedOn w:val="List"/>
    <w:rsid w:val="00B16C72"/>
    <w:pPr>
      <w:ind w:firstLine="0"/>
    </w:pPr>
  </w:style>
  <w:style w:type="paragraph" w:customStyle="1" w:styleId="ListNote">
    <w:name w:val="List Note"/>
    <w:basedOn w:val="List"/>
    <w:rsid w:val="00B16C72"/>
    <w:pPr>
      <w:pBdr>
        <w:top w:val="single" w:sz="6" w:space="2" w:color="918585"/>
        <w:bottom w:val="single" w:sz="6" w:space="2" w:color="918585"/>
      </w:pBdr>
      <w:tabs>
        <w:tab w:val="left" w:pos="1021"/>
      </w:tabs>
      <w:ind w:firstLine="0"/>
    </w:pPr>
  </w:style>
  <w:style w:type="paragraph" w:customStyle="1" w:styleId="Warning">
    <w:name w:val="Warning"/>
    <w:basedOn w:val="BodyText"/>
    <w:rsid w:val="00B16C72"/>
    <w:pPr>
      <w:shd w:val="clear" w:color="auto" w:fill="D9D9D9"/>
      <w:tabs>
        <w:tab w:val="left" w:pos="992"/>
      </w:tabs>
      <w:ind w:left="119" w:right="119"/>
    </w:pPr>
    <w:rPr>
      <w:sz w:val="20"/>
    </w:rPr>
  </w:style>
  <w:style w:type="paragraph" w:customStyle="1" w:styleId="MarginIcons">
    <w:name w:val="Margin Icons"/>
    <w:basedOn w:val="BodyText"/>
    <w:rsid w:val="00B16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C72"/>
    <w:rPr>
      <w:rFonts w:ascii="Courier New" w:hAnsi="Courier New"/>
    </w:rPr>
  </w:style>
  <w:style w:type="paragraph" w:customStyle="1" w:styleId="NoteBullet">
    <w:name w:val="Note Bullet"/>
    <w:basedOn w:val="Note"/>
    <w:rsid w:val="00B16C72"/>
    <w:pPr>
      <w:tabs>
        <w:tab w:val="clear" w:pos="680"/>
      </w:tabs>
      <w:spacing w:before="60" w:after="60"/>
    </w:pPr>
  </w:style>
  <w:style w:type="paragraph" w:customStyle="1" w:styleId="SubHeading2">
    <w:name w:val="SubHeading2"/>
    <w:basedOn w:val="HeadingBase"/>
    <w:rsid w:val="00B16C72"/>
    <w:pPr>
      <w:spacing w:before="240" w:after="60"/>
    </w:pPr>
    <w:rPr>
      <w:sz w:val="20"/>
    </w:rPr>
  </w:style>
  <w:style w:type="paragraph" w:customStyle="1" w:styleId="SubHeading1">
    <w:name w:val="SubHeading1"/>
    <w:basedOn w:val="HeadingBase"/>
    <w:rsid w:val="00B16C72"/>
    <w:pPr>
      <w:spacing w:before="240" w:after="60"/>
    </w:pPr>
    <w:rPr>
      <w:color w:val="918585"/>
      <w:sz w:val="22"/>
    </w:rPr>
  </w:style>
  <w:style w:type="paragraph" w:customStyle="1" w:styleId="SideHeading">
    <w:name w:val="Side Heading"/>
    <w:basedOn w:val="HeadingBase"/>
    <w:rsid w:val="00B16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C72"/>
    <w:pPr>
      <w:tabs>
        <w:tab w:val="num" w:pos="360"/>
      </w:tabs>
    </w:pPr>
  </w:style>
  <w:style w:type="paragraph" w:styleId="PlainText">
    <w:name w:val="Plain Text"/>
    <w:basedOn w:val="Normal"/>
    <w:link w:val="PlainTextChar"/>
    <w:rsid w:val="00B16C72"/>
    <w:rPr>
      <w:sz w:val="20"/>
    </w:rPr>
  </w:style>
  <w:style w:type="character" w:customStyle="1" w:styleId="PlainTextChar">
    <w:name w:val="Plain Text Char"/>
    <w:basedOn w:val="DefaultParagraphFont"/>
    <w:link w:val="PlainText"/>
    <w:rsid w:val="00B16C72"/>
    <w:rPr>
      <w:rFonts w:ascii="Courier New" w:eastAsia="Times New Roman" w:hAnsi="Courier New" w:cs="Times New Roman"/>
      <w:sz w:val="20"/>
      <w:szCs w:val="20"/>
      <w:lang w:eastAsia="en-US"/>
    </w:rPr>
  </w:style>
  <w:style w:type="character" w:customStyle="1" w:styleId="MenuOption">
    <w:name w:val="Menu Option"/>
    <w:basedOn w:val="DefaultParagraphFont"/>
    <w:rsid w:val="00B16C72"/>
    <w:rPr>
      <w:b/>
      <w:smallCaps/>
    </w:rPr>
  </w:style>
  <w:style w:type="paragraph" w:customStyle="1" w:styleId="TableListNumber">
    <w:name w:val="Table List Number"/>
    <w:basedOn w:val="ListNumber"/>
    <w:rsid w:val="00B16C72"/>
    <w:pPr>
      <w:numPr>
        <w:numId w:val="0"/>
      </w:numPr>
    </w:pPr>
  </w:style>
  <w:style w:type="paragraph" w:styleId="TOC4">
    <w:name w:val="toc 4"/>
    <w:basedOn w:val="TOCBase"/>
    <w:next w:val="Normal"/>
    <w:semiHidden/>
    <w:rsid w:val="00B16C72"/>
    <w:pPr>
      <w:tabs>
        <w:tab w:val="right" w:leader="dot" w:pos="9071"/>
      </w:tabs>
      <w:ind w:left="1701"/>
    </w:pPr>
  </w:style>
  <w:style w:type="paragraph" w:customStyle="1" w:styleId="ListAlpha">
    <w:name w:val="List Alpha"/>
    <w:basedOn w:val="List"/>
    <w:rsid w:val="00B16C72"/>
    <w:pPr>
      <w:numPr>
        <w:numId w:val="9"/>
      </w:numPr>
    </w:pPr>
  </w:style>
  <w:style w:type="paragraph" w:customStyle="1" w:styleId="ListAlpha2">
    <w:name w:val="List Alpha 2"/>
    <w:basedOn w:val="List2"/>
    <w:rsid w:val="00B16C72"/>
    <w:pPr>
      <w:numPr>
        <w:numId w:val="8"/>
      </w:numPr>
    </w:pPr>
  </w:style>
  <w:style w:type="paragraph" w:styleId="List2">
    <w:name w:val="List 2"/>
    <w:basedOn w:val="BodyText"/>
    <w:rsid w:val="00B16C72"/>
    <w:pPr>
      <w:tabs>
        <w:tab w:val="left" w:pos="680"/>
      </w:tabs>
      <w:spacing w:before="60" w:after="60"/>
      <w:ind w:left="680" w:hanging="340"/>
    </w:pPr>
  </w:style>
  <w:style w:type="paragraph" w:styleId="List3">
    <w:name w:val="List 3"/>
    <w:basedOn w:val="BodyText"/>
    <w:rsid w:val="00B16C72"/>
    <w:pPr>
      <w:tabs>
        <w:tab w:val="left" w:pos="1021"/>
      </w:tabs>
      <w:spacing w:before="60" w:after="60"/>
      <w:ind w:left="1020" w:hanging="340"/>
    </w:pPr>
  </w:style>
  <w:style w:type="paragraph" w:styleId="List4">
    <w:name w:val="List 4"/>
    <w:basedOn w:val="BodyText"/>
    <w:rsid w:val="00B16C72"/>
    <w:pPr>
      <w:tabs>
        <w:tab w:val="left" w:pos="1361"/>
      </w:tabs>
      <w:spacing w:before="60" w:after="60"/>
      <w:ind w:left="1361" w:hanging="340"/>
    </w:pPr>
  </w:style>
  <w:style w:type="paragraph" w:styleId="List5">
    <w:name w:val="List 5"/>
    <w:basedOn w:val="BodyText"/>
    <w:rsid w:val="00B16C72"/>
    <w:pPr>
      <w:tabs>
        <w:tab w:val="left" w:pos="1701"/>
      </w:tabs>
      <w:spacing w:before="60" w:after="60"/>
      <w:ind w:left="1701" w:hanging="340"/>
    </w:pPr>
  </w:style>
  <w:style w:type="paragraph" w:styleId="ListBullet3">
    <w:name w:val="List Bullet 3"/>
    <w:basedOn w:val="List3"/>
    <w:rsid w:val="00B16C72"/>
    <w:pPr>
      <w:numPr>
        <w:numId w:val="14"/>
      </w:numPr>
      <w:tabs>
        <w:tab w:val="clear" w:pos="1021"/>
      </w:tabs>
      <w:ind w:left="1037" w:hanging="357"/>
    </w:pPr>
  </w:style>
  <w:style w:type="paragraph" w:styleId="ListBullet4">
    <w:name w:val="List Bullet 4"/>
    <w:basedOn w:val="List4"/>
    <w:rsid w:val="00B16C72"/>
    <w:pPr>
      <w:numPr>
        <w:numId w:val="3"/>
      </w:numPr>
      <w:tabs>
        <w:tab w:val="clear" w:pos="1361"/>
      </w:tabs>
    </w:pPr>
  </w:style>
  <w:style w:type="paragraph" w:styleId="ListBullet5">
    <w:name w:val="List Bullet 5"/>
    <w:basedOn w:val="List5"/>
    <w:rsid w:val="00B16C72"/>
    <w:pPr>
      <w:numPr>
        <w:numId w:val="4"/>
      </w:numPr>
    </w:pPr>
  </w:style>
  <w:style w:type="paragraph" w:styleId="ListContinue2">
    <w:name w:val="List Continue 2"/>
    <w:basedOn w:val="List2"/>
    <w:rsid w:val="00B16C72"/>
    <w:pPr>
      <w:ind w:firstLine="0"/>
    </w:pPr>
  </w:style>
  <w:style w:type="paragraph" w:styleId="ListContinue3">
    <w:name w:val="List Continue 3"/>
    <w:basedOn w:val="List3"/>
    <w:rsid w:val="00B16C72"/>
    <w:pPr>
      <w:ind w:left="1021" w:firstLine="0"/>
    </w:pPr>
  </w:style>
  <w:style w:type="paragraph" w:styleId="ListContinue4">
    <w:name w:val="List Continue 4"/>
    <w:basedOn w:val="List4"/>
    <w:rsid w:val="00B16C72"/>
    <w:pPr>
      <w:ind w:firstLine="0"/>
    </w:pPr>
  </w:style>
  <w:style w:type="paragraph" w:styleId="ListContinue5">
    <w:name w:val="List Continue 5"/>
    <w:basedOn w:val="List5"/>
    <w:rsid w:val="00B16C72"/>
    <w:pPr>
      <w:ind w:firstLine="0"/>
    </w:pPr>
  </w:style>
  <w:style w:type="paragraph" w:styleId="ListNumber3">
    <w:name w:val="List Number 3"/>
    <w:basedOn w:val="List3"/>
    <w:rsid w:val="00B16C72"/>
    <w:pPr>
      <w:numPr>
        <w:numId w:val="5"/>
      </w:numPr>
    </w:pPr>
  </w:style>
  <w:style w:type="paragraph" w:styleId="ListNumber4">
    <w:name w:val="List Number 4"/>
    <w:basedOn w:val="List4"/>
    <w:rsid w:val="00B16C72"/>
    <w:pPr>
      <w:numPr>
        <w:numId w:val="6"/>
      </w:numPr>
    </w:pPr>
  </w:style>
  <w:style w:type="paragraph" w:styleId="ListNumber5">
    <w:name w:val="List Number 5"/>
    <w:basedOn w:val="List5"/>
    <w:rsid w:val="00B16C72"/>
    <w:pPr>
      <w:numPr>
        <w:numId w:val="7"/>
      </w:numPr>
    </w:pPr>
  </w:style>
  <w:style w:type="paragraph" w:styleId="BlockText">
    <w:name w:val="Block Text"/>
    <w:basedOn w:val="Normal"/>
    <w:rsid w:val="00B16C72"/>
    <w:pPr>
      <w:spacing w:after="120"/>
      <w:ind w:left="1440" w:right="1440"/>
    </w:pPr>
  </w:style>
  <w:style w:type="character" w:customStyle="1" w:styleId="Subscript">
    <w:name w:val="Subscript"/>
    <w:basedOn w:val="DefaultParagraphFont"/>
    <w:rsid w:val="00B16C72"/>
    <w:rPr>
      <w:sz w:val="16"/>
      <w:vertAlign w:val="subscript"/>
    </w:rPr>
  </w:style>
  <w:style w:type="character" w:customStyle="1" w:styleId="Superscript">
    <w:name w:val="Superscript"/>
    <w:basedOn w:val="DefaultParagraphFont"/>
    <w:rsid w:val="00B16C72"/>
    <w:rPr>
      <w:sz w:val="16"/>
      <w:vertAlign w:val="superscript"/>
    </w:rPr>
  </w:style>
  <w:style w:type="character" w:customStyle="1" w:styleId="Symbols">
    <w:name w:val="Symbols"/>
    <w:basedOn w:val="DefaultParagraphFont"/>
    <w:rsid w:val="00B16C72"/>
    <w:rPr>
      <w:rFonts w:ascii="Symbol" w:hAnsi="Symbol"/>
    </w:rPr>
  </w:style>
  <w:style w:type="character" w:customStyle="1" w:styleId="MenuOptions">
    <w:name w:val="Menu Options"/>
    <w:basedOn w:val="DefaultParagraphFont"/>
    <w:rsid w:val="00B16C72"/>
    <w:rPr>
      <w:rFonts w:ascii="Arial Narrow" w:hAnsi="Arial Narrow"/>
      <w:smallCaps/>
    </w:rPr>
  </w:style>
  <w:style w:type="character" w:customStyle="1" w:styleId="Buttons">
    <w:name w:val="Buttons"/>
    <w:basedOn w:val="DefaultParagraphFont"/>
    <w:rsid w:val="00B16C72"/>
    <w:rPr>
      <w:b/>
    </w:rPr>
  </w:style>
  <w:style w:type="character" w:customStyle="1" w:styleId="Underlined">
    <w:name w:val="Underlined"/>
    <w:basedOn w:val="DefaultParagraphFont"/>
    <w:rsid w:val="00B16C72"/>
    <w:rPr>
      <w:u w:val="single"/>
    </w:rPr>
  </w:style>
  <w:style w:type="paragraph" w:customStyle="1" w:styleId="TableBodyTextRight">
    <w:name w:val="Table Body Text Right"/>
    <w:basedOn w:val="TableBodyText"/>
    <w:rsid w:val="00B16C72"/>
    <w:pPr>
      <w:widowControl w:val="0"/>
      <w:autoSpaceDE w:val="0"/>
      <w:autoSpaceDN w:val="0"/>
      <w:adjustRightInd w:val="0"/>
      <w:jc w:val="right"/>
    </w:pPr>
    <w:rPr>
      <w:rFonts w:cs="Arial"/>
      <w:szCs w:val="18"/>
    </w:rPr>
  </w:style>
  <w:style w:type="paragraph" w:customStyle="1" w:styleId="CopyrightText">
    <w:name w:val="Copyright Text"/>
    <w:basedOn w:val="BodyText"/>
    <w:rsid w:val="00B16C72"/>
    <w:rPr>
      <w:sz w:val="18"/>
    </w:rPr>
  </w:style>
  <w:style w:type="paragraph" w:customStyle="1" w:styleId="BodySmallRight">
    <w:name w:val="Body Small Right"/>
    <w:basedOn w:val="BodyTextRight"/>
    <w:rsid w:val="00B16C72"/>
    <w:rPr>
      <w:sz w:val="18"/>
      <w:szCs w:val="18"/>
    </w:rPr>
  </w:style>
  <w:style w:type="paragraph" w:customStyle="1" w:styleId="MarginEdition">
    <w:name w:val="Margin Edition"/>
    <w:basedOn w:val="MarginNote"/>
    <w:rsid w:val="00B16C72"/>
    <w:pPr>
      <w:spacing w:before="0" w:after="0"/>
    </w:pPr>
    <w:rPr>
      <w:rFonts w:ascii="Times New Roman" w:hAnsi="Times New Roman"/>
      <w:color w:val="999999"/>
    </w:rPr>
  </w:style>
  <w:style w:type="paragraph" w:customStyle="1" w:styleId="Spacer">
    <w:name w:val="Spacer"/>
    <w:basedOn w:val="Normal"/>
    <w:rsid w:val="00B16C72"/>
    <w:rPr>
      <w:sz w:val="2"/>
      <w:szCs w:val="2"/>
    </w:rPr>
  </w:style>
  <w:style w:type="character" w:customStyle="1" w:styleId="Small">
    <w:name w:val="Small"/>
    <w:basedOn w:val="DefaultParagraphFont"/>
    <w:rsid w:val="00B16C72"/>
    <w:rPr>
      <w:sz w:val="16"/>
    </w:rPr>
  </w:style>
  <w:style w:type="paragraph" w:customStyle="1" w:styleId="WideTable">
    <w:name w:val="Wide Table"/>
    <w:basedOn w:val="Normal"/>
    <w:rsid w:val="00B16C72"/>
    <w:pPr>
      <w:ind w:left="-1418"/>
    </w:pPr>
    <w:rPr>
      <w:sz w:val="2"/>
      <w:szCs w:val="2"/>
    </w:rPr>
  </w:style>
  <w:style w:type="character" w:styleId="PageNumber">
    <w:name w:val="page number"/>
    <w:basedOn w:val="DefaultParagraphFont"/>
    <w:rsid w:val="00B16C72"/>
  </w:style>
  <w:style w:type="paragraph" w:styleId="Quote">
    <w:name w:val="Quote"/>
    <w:basedOn w:val="Heading1"/>
    <w:link w:val="QuoteChar"/>
    <w:qFormat/>
    <w:rsid w:val="00B16C72"/>
    <w:rPr>
      <w:b w:val="0"/>
      <w:sz w:val="72"/>
      <w:szCs w:val="72"/>
      <w:lang w:val="en-NZ"/>
    </w:rPr>
  </w:style>
  <w:style w:type="character" w:customStyle="1" w:styleId="QuoteChar">
    <w:name w:val="Quote Char"/>
    <w:basedOn w:val="DefaultParagraphFont"/>
    <w:link w:val="Quote"/>
    <w:rsid w:val="00B16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C72"/>
    <w:pPr>
      <w:pageBreakBefore/>
    </w:pPr>
  </w:style>
  <w:style w:type="paragraph" w:customStyle="1" w:styleId="Border">
    <w:name w:val="Border"/>
    <w:basedOn w:val="Normal"/>
    <w:qFormat/>
    <w:rsid w:val="00B16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C72"/>
    <w:rPr>
      <w:b/>
      <w:bCs/>
      <w:i/>
      <w:iCs/>
      <w:color w:val="auto"/>
    </w:rPr>
  </w:style>
  <w:style w:type="paragraph" w:styleId="IntenseQuote">
    <w:name w:val="Intense Quote"/>
    <w:basedOn w:val="Normal"/>
    <w:next w:val="Normal"/>
    <w:link w:val="IntenseQuoteChar"/>
    <w:uiPriority w:val="30"/>
    <w:qFormat/>
    <w:rsid w:val="00B16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C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C72"/>
    <w:rPr>
      <w:smallCaps/>
      <w:color w:val="auto"/>
      <w:u w:val="single"/>
    </w:rPr>
  </w:style>
  <w:style w:type="character" w:styleId="IntenseReference">
    <w:name w:val="Intense Reference"/>
    <w:basedOn w:val="DefaultParagraphFont"/>
    <w:uiPriority w:val="32"/>
    <w:qFormat/>
    <w:rsid w:val="00B16C72"/>
    <w:rPr>
      <w:b/>
      <w:bCs/>
      <w:smallCaps/>
      <w:color w:val="auto"/>
      <w:spacing w:val="5"/>
      <w:u w:val="single"/>
    </w:rPr>
  </w:style>
  <w:style w:type="paragraph" w:customStyle="1" w:styleId="2ColumnHeading">
    <w:name w:val="2Column Heading"/>
    <w:basedOn w:val="BodyText"/>
    <w:qFormat/>
    <w:rsid w:val="00B16C72"/>
    <w:pPr>
      <w:spacing w:after="60"/>
      <w:ind w:left="-2268"/>
    </w:pPr>
    <w:rPr>
      <w:b/>
    </w:rPr>
  </w:style>
  <w:style w:type="paragraph" w:customStyle="1" w:styleId="Heading1TOC">
    <w:name w:val="Heading1 TOC"/>
    <w:basedOn w:val="Normal"/>
    <w:qFormat/>
    <w:rsid w:val="00B16C72"/>
    <w:pPr>
      <w:spacing w:before="240" w:after="120"/>
    </w:pPr>
    <w:rPr>
      <w:rFonts w:ascii="Times New Roman" w:hAnsi="Times New Roman"/>
      <w:b/>
      <w:sz w:val="32"/>
    </w:rPr>
  </w:style>
  <w:style w:type="paragraph" w:customStyle="1" w:styleId="Heading2TOC">
    <w:name w:val="Heading2 TOC"/>
    <w:basedOn w:val="Normal"/>
    <w:qFormat/>
    <w:rsid w:val="00B16C72"/>
    <w:pPr>
      <w:spacing w:before="240" w:after="60"/>
    </w:pPr>
    <w:rPr>
      <w:rFonts w:ascii="Times New Roman" w:hAnsi="Times New Roman"/>
      <w:b/>
      <w:sz w:val="28"/>
    </w:rPr>
  </w:style>
  <w:style w:type="character" w:customStyle="1" w:styleId="Underline">
    <w:name w:val="Underline"/>
    <w:basedOn w:val="DefaultParagraphFont"/>
    <w:qFormat/>
    <w:rsid w:val="00B16C72"/>
    <w:rPr>
      <w:u w:val="single"/>
    </w:rPr>
  </w:style>
  <w:style w:type="character" w:customStyle="1" w:styleId="BoldandItalics">
    <w:name w:val="Bold and Italics"/>
    <w:qFormat/>
    <w:rsid w:val="00B16C72"/>
    <w:rPr>
      <w:b/>
      <w:i/>
      <w:u w:val="none"/>
    </w:rPr>
  </w:style>
  <w:style w:type="paragraph" w:styleId="BalloonText">
    <w:name w:val="Balloon Text"/>
    <w:basedOn w:val="Normal"/>
    <w:link w:val="BalloonTextChar"/>
    <w:rsid w:val="00B16C72"/>
    <w:rPr>
      <w:rFonts w:ascii="Tahoma" w:hAnsi="Tahoma" w:cs="Tahoma"/>
      <w:sz w:val="16"/>
      <w:szCs w:val="16"/>
    </w:rPr>
  </w:style>
  <w:style w:type="character" w:customStyle="1" w:styleId="BalloonTextChar">
    <w:name w:val="Balloon Text Char"/>
    <w:basedOn w:val="DefaultParagraphFont"/>
    <w:link w:val="BalloonText"/>
    <w:rsid w:val="00B16C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C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C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C72"/>
    <w:rPr>
      <w:b/>
      <w:color w:val="660033"/>
      <w:spacing w:val="0"/>
    </w:rPr>
  </w:style>
  <w:style w:type="paragraph" w:customStyle="1" w:styleId="Nameditemlist">
    <w:name w:val="Named item list"/>
    <w:basedOn w:val="BodyText"/>
    <w:qFormat/>
    <w:rsid w:val="00B16C72"/>
    <w:pPr>
      <w:tabs>
        <w:tab w:val="left" w:pos="2835"/>
      </w:tabs>
      <w:ind w:left="2835" w:hanging="2835"/>
    </w:pPr>
  </w:style>
  <w:style w:type="paragraph" w:customStyle="1" w:styleId="BodyTextnopadding">
    <w:name w:val="Body Text no padding"/>
    <w:basedOn w:val="BodyText"/>
    <w:qFormat/>
    <w:rsid w:val="00B16C72"/>
    <w:pPr>
      <w:spacing w:before="0" w:after="0"/>
    </w:pPr>
  </w:style>
  <w:style w:type="paragraph" w:customStyle="1" w:styleId="BodyTextBold">
    <w:name w:val="Body Text Bold"/>
    <w:basedOn w:val="BodyText"/>
    <w:qFormat/>
    <w:rsid w:val="00B16C72"/>
    <w:rPr>
      <w:b/>
    </w:rPr>
  </w:style>
  <w:style w:type="character" w:styleId="Hyperlink">
    <w:name w:val="Hyperlink"/>
    <w:basedOn w:val="DefaultParagraphFont"/>
    <w:uiPriority w:val="99"/>
    <w:unhideWhenUsed/>
    <w:rsid w:val="004F5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5087</Characters>
  <Application>Microsoft Office Word</Application>
  <DocSecurity>0</DocSecurity>
  <Lines>149</Lines>
  <Paragraphs>85</Paragraphs>
  <ScaleCrop>false</ScaleCrop>
  <Company>Author-it Software Corporation Ltd.</Company>
  <LinksUpToDate>false</LinksUpToDate>
  <CharactersWithSpaces>5825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CPPSEC2103 Apply WHS, emergency response and evacuation procedures to maintain security</dc:title>
  <dc:subject>Approved</dc:subject>
  <dc:creator>Artibus Innovation</dc:creator>
  <cp:keywords>Release: 4</cp:keywords>
  <dc:description>Review Date: 12 April 2008</dc:description>
  <cp:lastModifiedBy>HSD_TPCMSd.prod</cp:lastModifiedBy>
  <cp:revision>3</cp:revision>
  <dcterms:created xsi:type="dcterms:W3CDTF">2022-12-19T06:23:00Z</dcterms:created>
  <dcterms:modified xsi:type="dcterms:W3CDTF">2022-12-19T06:23:00Z</dcterms:modified>
</cp:coreProperties>
</file>