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BCF" w:rsidP="00FB0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CPPSEC2024 Monitor and respond to electronic information from security equipment and systems</w:t>
      </w:r>
      <w:r>
        <w:fldChar w:fldCharType="end"/>
      </w:r>
    </w:p>
    <w:p w:rsidR="00FB0BCF" w:rsidP="00FB0BCF">
      <w:pPr>
        <w:pStyle w:val="Version"/>
        <w:sectPr w:rsidSect="00D10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21E" w:rsidP="00D1021E">
      <w:pPr>
        <w:pStyle w:val="SuperHeading"/>
      </w:pPr>
      <w:r w:rsidRPr="00D1021E">
        <w:t>CPPSEC2024 Monitor and respond to electronic informatio</w:t>
      </w:r>
      <w:r w:rsidRPr="00D1021E">
        <w:t>n from security equipment and systems</w:t>
      </w:r>
    </w:p>
    <w:p w:rsidR="00000000" w:rsidRPr="00D1021E" w:rsidP="00D1021E">
      <w:pPr>
        <w:pStyle w:val="Heading1"/>
      </w:pPr>
      <w:bookmarkStart w:id="1" w:name="O_1052956"/>
      <w:bookmarkEnd w:id="1"/>
      <w:r w:rsidRPr="00D102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21E" w:rsidP="00D1021E">
            <w:pPr>
              <w:pStyle w:val="BodyText"/>
            </w:pPr>
            <w:r w:rsidRPr="00D1021E">
              <w:t>This version first released with CPP Property Services Training Package Release 9.0.</w:t>
            </w:r>
          </w:p>
          <w:p w:rsidR="00000000" w:rsidRPr="00D1021E" w:rsidP="00D1021E">
            <w:pPr>
              <w:pStyle w:val="BodyText"/>
            </w:pPr>
            <w:r w:rsidRPr="00D1021E">
              <w:t>Supersedes and is equivalent to CPPSEC2024 Implement electronic monitoring procedures. Updated to meet the Standards for Training Packages.</w:t>
            </w:r>
          </w:p>
        </w:tc>
      </w:tr>
    </w:tbl>
    <w:p w:rsidR="00000000" w:rsidRPr="00D1021E" w:rsidP="00D1021E">
      <w:pPr>
        <w:pStyle w:val="BodyText"/>
      </w:pPr>
    </w:p>
    <w:p w:rsidR="00000000" w:rsidRPr="00D1021E" w:rsidP="00D1021E">
      <w:pPr>
        <w:pStyle w:val="AllowPageBreak"/>
      </w:pPr>
    </w:p>
    <w:p w:rsidR="00000000" w:rsidRPr="00D1021E" w:rsidP="00D1021E">
      <w:pPr>
        <w:pStyle w:val="Heading1"/>
      </w:pPr>
      <w:bookmarkStart w:id="2" w:name="O_1052962"/>
      <w:bookmarkEnd w:id="2"/>
      <w:r w:rsidRPr="00D1021E">
        <w:t>Application</w:t>
      </w:r>
    </w:p>
    <w:p w:rsidR="00000000" w:rsidRPr="00D1021E" w:rsidP="00FB0BCF">
      <w:pPr>
        <w:pStyle w:val="BodyText"/>
      </w:pPr>
      <w:r w:rsidRPr="00D1021E">
        <w:t>This unit specifies the skills and knowledge required to monitor and respond to ele</w:t>
      </w:r>
      <w:r w:rsidRPr="00D1021E">
        <w:t>ctronic information received from a range of security equipment and systems, including alarm monitoring management software.  It includes accurately interpreting electronic information and applying correct response procedures to a range of security situati</w:t>
      </w:r>
      <w:r w:rsidRPr="00D1021E">
        <w:t>ons.  Work is usually conducted from a secure electronic reporting facility, monitoring centre or control room.</w:t>
      </w:r>
    </w:p>
    <w:p w:rsidR="00000000" w:rsidRPr="00D1021E" w:rsidP="00FB0BCF">
      <w:pPr>
        <w:pStyle w:val="BodyText"/>
      </w:pPr>
      <w:r w:rsidRPr="00D1021E">
        <w:t>The unit is suitable for those with basic skills and knowledge undertaking routine work tasks under the direction of more experienced workers.</w:t>
      </w:r>
    </w:p>
    <w:p w:rsidR="00000000" w:rsidRPr="00D1021E" w:rsidP="00FB0BCF">
      <w:pPr>
        <w:pStyle w:val="BodyText"/>
      </w:pPr>
      <w:r w:rsidRPr="00D1021E">
        <w:t>L</w:t>
      </w:r>
      <w:r w:rsidRPr="00D1021E">
        <w:t>icensing, legislative or certification requirements apply to advising on, supplying, installing, maintaining, monitoring, repairing and servicing security equipment in some states and territories.  For further information, check with the relevant regulator</w:t>
      </w:r>
      <w:r w:rsidRPr="00D1021E">
        <w:t>y authority.</w:t>
      </w:r>
    </w:p>
    <w:p w:rsidR="00000000" w:rsidRPr="00D1021E" w:rsidP="00D1021E">
      <w:pPr>
        <w:pStyle w:val="Heading1"/>
      </w:pPr>
      <w:bookmarkStart w:id="3" w:name="O_1052961"/>
      <w:bookmarkEnd w:id="3"/>
      <w:r w:rsidRPr="00D1021E">
        <w:t>Pre-requisite Unit</w:t>
      </w:r>
    </w:p>
    <w:p w:rsidR="00000000" w:rsidRPr="00D1021E" w:rsidP="00FB0BCF">
      <w:pPr>
        <w:pStyle w:val="BodyText"/>
      </w:pPr>
      <w:r w:rsidRPr="00D1021E">
        <w:t>None.</w:t>
      </w:r>
    </w:p>
    <w:p w:rsidR="00000000" w:rsidRPr="00D1021E" w:rsidP="00D1021E">
      <w:pPr>
        <w:pStyle w:val="Heading1"/>
      </w:pPr>
      <w:bookmarkStart w:id="4" w:name="O_1052960"/>
      <w:bookmarkEnd w:id="4"/>
      <w:r w:rsidRPr="00D1021E">
        <w:t>Unit Sector</w:t>
      </w:r>
    </w:p>
    <w:p w:rsidR="00000000" w:rsidRPr="00D1021E" w:rsidP="00FB0BCF">
      <w:pPr>
        <w:pStyle w:val="BodyText"/>
      </w:pPr>
      <w:r w:rsidRPr="00D1021E">
        <w:t>Technical</w:t>
      </w:r>
    </w:p>
    <w:p w:rsidR="00000000" w:rsidRPr="00D1021E" w:rsidP="00D1021E">
      <w:pPr>
        <w:pStyle w:val="Heading1"/>
      </w:pPr>
      <w:bookmarkStart w:id="5" w:name="O_1052959"/>
      <w:bookmarkEnd w:id="5"/>
      <w:r w:rsidRPr="00D102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Performance criteria describe what needs to be done to demonstrate achievement of the element.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Monitor electronic security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Review work instructions to confirm electronic monitoring requirements and timeframes and clarify issues with re</w:t>
            </w:r>
            <w:r w:rsidRPr="00D1021E">
              <w:t>levant persons.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Review and follow workplace policies and procedures including work health and safety when carrying out work tasks.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 xml:space="preserve">Inspect security equipment and system and check to ensure correct operation and connections </w:t>
            </w:r>
            <w:r w:rsidRPr="00D1021E">
              <w:t>following manufacturers’ instructions.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Clarify and comply with monitoring parameters for security equipment and system in accordance with workplace requirements.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Systematically monitor electronic information from security system and equipment</w:t>
            </w:r>
            <w:r w:rsidRPr="00D1021E">
              <w:t xml:space="preserve"> according to work instructions.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Routinely cross-check security system and equipment with companion monitoring systems to verify accurate and reliable information exchange according to workplace requirements.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Identify, correct or report faults or malfunctions in security system or equipment operation.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Respond to electronic security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Clarify response procedures with relevant persons.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Receive electronic security information and verify reliability and accuracy according to workplace requirements.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Identify and prioritise response to comply with required monitoring parameters.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Identify risks associated with changing circumsta</w:t>
            </w:r>
            <w:r w:rsidRPr="00D1021E">
              <w:t>nces and obtain approval from relevant persons to vary response.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Action required response to electronic security information according to workplace requirements.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Finalise electronic monitoring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Carry out back-up procedures to protect electronic security information.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Carry out change of shift procedures that ensure monitoring continuity.</w:t>
            </w:r>
          </w:p>
        </w:tc>
      </w:tr>
      <w:tr w:rsidTr="00D1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21E">
            <w:pPr>
              <w:pStyle w:val="BodyText"/>
              <w:rPr>
                <w:lang w:val="en-NZ"/>
              </w:rPr>
            </w:pPr>
            <w:r w:rsidRPr="00D1021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21E" w:rsidP="00D1021E">
            <w:pPr>
              <w:pStyle w:val="BodyText"/>
            </w:pPr>
            <w:r w:rsidRPr="00D1021E">
              <w:t>Complete monitoring documentation ensuring accurate response records responses are accurately recorded according to workplace requirements.</w:t>
            </w:r>
          </w:p>
        </w:tc>
      </w:tr>
    </w:tbl>
    <w:p w:rsidR="00000000" w:rsidRPr="00D1021E" w:rsidP="00D1021E">
      <w:pPr>
        <w:pStyle w:val="BodyText"/>
      </w:pPr>
    </w:p>
    <w:p w:rsidR="00000000" w:rsidRPr="00D1021E" w:rsidP="00D1021E">
      <w:pPr>
        <w:pStyle w:val="AllowPageBreak"/>
      </w:pPr>
    </w:p>
    <w:p w:rsidR="00000000" w:rsidRPr="00D1021E" w:rsidP="00D1021E">
      <w:pPr>
        <w:pStyle w:val="Heading1"/>
      </w:pPr>
      <w:bookmarkStart w:id="6" w:name="O_1052958"/>
      <w:bookmarkEnd w:id="6"/>
      <w:r w:rsidRPr="00D1021E">
        <w:t>Foundation Skills</w:t>
      </w:r>
    </w:p>
    <w:p w:rsidR="00000000" w:rsidRPr="00D1021E" w:rsidP="00FB0BCF">
      <w:pPr>
        <w:pStyle w:val="BodyText"/>
      </w:pPr>
      <w:r w:rsidRPr="00D1021E">
        <w:t>As well as the foundation skills explicit in the performance criteria of this</w:t>
      </w:r>
      <w:r w:rsidRPr="00D1021E">
        <w:t xml:space="preserve"> unit, candidates require:</w:t>
      </w:r>
    </w:p>
    <w:p w:rsidR="00000000" w:rsidRPr="00D1021E" w:rsidP="00D1021E">
      <w:pPr>
        <w:pStyle w:val="ListBullet"/>
      </w:pPr>
      <w:r w:rsidRPr="00D1021E">
        <w:t>reading skills to understand and follow written and diagrammatic instructions when operating electronic security equipment</w:t>
      </w:r>
    </w:p>
    <w:p w:rsidR="00000000" w:rsidRPr="00D1021E" w:rsidP="00D1021E">
      <w:pPr>
        <w:pStyle w:val="ListBullet"/>
      </w:pPr>
      <w:r w:rsidRPr="00D1021E">
        <w:t>numeracy skills to calculate and enter numerical data into security systems.</w:t>
      </w:r>
    </w:p>
    <w:p w:rsidR="00000000" w:rsidRPr="00D1021E" w:rsidP="00D1021E">
      <w:pPr>
        <w:pStyle w:val="AllowPageBreak"/>
      </w:pPr>
    </w:p>
    <w:p w:rsidR="00000000" w:rsidRPr="00D1021E" w:rsidP="00D1021E">
      <w:pPr>
        <w:pStyle w:val="Heading1"/>
      </w:pPr>
      <w:bookmarkStart w:id="7" w:name="O_1052957"/>
      <w:bookmarkEnd w:id="7"/>
      <w:r w:rsidRPr="00D1021E">
        <w:t>Unit Mapping Information</w:t>
      </w:r>
    </w:p>
    <w:p w:rsidR="00000000" w:rsidRPr="00D1021E" w:rsidP="00FB0BCF">
      <w:pPr>
        <w:pStyle w:val="BodyText"/>
      </w:pPr>
      <w:r w:rsidRPr="00D1021E">
        <w:t>Supersedes and equivalent to CPPSEC2024A Implement electronic monitoring procedures.</w:t>
      </w:r>
    </w:p>
    <w:p w:rsidR="00000000" w:rsidRPr="00D1021E" w:rsidP="00D1021E">
      <w:pPr>
        <w:pStyle w:val="Heading1"/>
      </w:pPr>
      <w:bookmarkStart w:id="8" w:name="O_1052950"/>
      <w:bookmarkEnd w:id="8"/>
      <w:r w:rsidRPr="00D1021E">
        <w:t>Links</w:t>
      </w:r>
    </w:p>
    <w:p w:rsidR="00000000" w:rsidRPr="00D1021E" w:rsidP="00FB0BCF">
      <w:pPr>
        <w:pStyle w:val="BodyText"/>
      </w:pPr>
      <w:r w:rsidRPr="00D102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7509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1021E" w:rsidP="00D1021E"/>
    <w:sectPr w:rsidSect="00D102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1E" w:rsidRPr="00FB0BCF" w:rsidP="00FB0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CF" w:rsidP="00D10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BCF" w:rsidP="00D10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B0BCF" w:rsidP="00D10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21E" w:rsidRPr="00FB0BCF" w:rsidP="00FB0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CF" w:rsidRPr="002D2AF8" w:rsidP="00D10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CPPSEC2024 Monitor and respond to electronic information from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B0BCF" w:rsidP="00D10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34A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FA18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21E"/>
  </w:style>
  <w:style w:type="character" w:customStyle="1" w:styleId="Heading1Char">
    <w:name w:val="Heading 1 Char"/>
    <w:basedOn w:val="DefaultParagraphFont"/>
    <w:link w:val="Heading1"/>
    <w:rsid w:val="00D10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2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2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0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2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21E"/>
    <w:rPr>
      <w:b/>
      <w:spacing w:val="0"/>
    </w:rPr>
  </w:style>
  <w:style w:type="paragraph" w:customStyle="1" w:styleId="SuperTitle">
    <w:name w:val="SuperTitle"/>
    <w:basedOn w:val="Title"/>
    <w:rsid w:val="00D10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2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2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21E"/>
    <w:rPr>
      <w:i/>
    </w:rPr>
  </w:style>
  <w:style w:type="paragraph" w:styleId="Caption">
    <w:name w:val="caption"/>
    <w:basedOn w:val="BodyText"/>
    <w:next w:val="Normal"/>
    <w:qFormat/>
    <w:rsid w:val="00D10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21E"/>
  </w:style>
  <w:style w:type="paragraph" w:styleId="TableofFigures">
    <w:name w:val="table of figures"/>
    <w:basedOn w:val="Normal"/>
    <w:next w:val="Normal"/>
    <w:semiHidden/>
    <w:rsid w:val="00D10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2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21E"/>
    <w:rPr>
      <w:rFonts w:ascii="Wingdings" w:hAnsi="Wingdings"/>
    </w:rPr>
  </w:style>
  <w:style w:type="paragraph" w:customStyle="1" w:styleId="TableHeading">
    <w:name w:val="Table Heading"/>
    <w:basedOn w:val="HeadingBase"/>
    <w:rsid w:val="00D10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21E"/>
    <w:rPr>
      <w:color w:val="0033CC"/>
      <w:u w:val="none"/>
    </w:rPr>
  </w:style>
  <w:style w:type="paragraph" w:customStyle="1" w:styleId="BodyTextRight">
    <w:name w:val="Body Text Right"/>
    <w:basedOn w:val="BodyText"/>
    <w:rsid w:val="00D10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2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21E"/>
    <w:rPr>
      <w:sz w:val="32"/>
    </w:rPr>
  </w:style>
  <w:style w:type="paragraph" w:customStyle="1" w:styleId="HeadingProcedure">
    <w:name w:val="Heading Procedure"/>
    <w:basedOn w:val="HeadingBase"/>
    <w:next w:val="Normal"/>
    <w:rsid w:val="00D10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21E"/>
    <w:pPr>
      <w:spacing w:before="60" w:after="60"/>
    </w:pPr>
  </w:style>
  <w:style w:type="paragraph" w:styleId="ListContinue">
    <w:name w:val="List Continue"/>
    <w:basedOn w:val="List"/>
    <w:rsid w:val="00D1021E"/>
    <w:pPr>
      <w:ind w:firstLine="0"/>
    </w:pPr>
  </w:style>
  <w:style w:type="paragraph" w:customStyle="1" w:styleId="ListNote">
    <w:name w:val="List Note"/>
    <w:basedOn w:val="List"/>
    <w:rsid w:val="00D10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21E"/>
    <w:rPr>
      <w:rFonts w:ascii="Courier New" w:hAnsi="Courier New"/>
    </w:rPr>
  </w:style>
  <w:style w:type="paragraph" w:customStyle="1" w:styleId="NoteBullet">
    <w:name w:val="Note Bullet"/>
    <w:basedOn w:val="Note"/>
    <w:rsid w:val="00D10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2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21E"/>
    <w:rPr>
      <w:b/>
      <w:smallCaps/>
    </w:rPr>
  </w:style>
  <w:style w:type="paragraph" w:customStyle="1" w:styleId="TableListNumber">
    <w:name w:val="Table List Number"/>
    <w:basedOn w:val="ListNumber"/>
    <w:rsid w:val="00D10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21E"/>
    <w:pPr>
      <w:numPr>
        <w:numId w:val="8"/>
      </w:numPr>
    </w:pPr>
  </w:style>
  <w:style w:type="paragraph" w:customStyle="1" w:styleId="ListAlpha2">
    <w:name w:val="List Alpha 2"/>
    <w:basedOn w:val="List2"/>
    <w:rsid w:val="00D1021E"/>
    <w:pPr>
      <w:numPr>
        <w:numId w:val="7"/>
      </w:numPr>
    </w:pPr>
  </w:style>
  <w:style w:type="paragraph" w:styleId="List2">
    <w:name w:val="List 2"/>
    <w:basedOn w:val="BodyText"/>
    <w:rsid w:val="00D10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2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2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21E"/>
    <w:pPr>
      <w:numPr>
        <w:numId w:val="3"/>
      </w:numPr>
    </w:pPr>
  </w:style>
  <w:style w:type="paragraph" w:styleId="ListContinue2">
    <w:name w:val="List Continue 2"/>
    <w:basedOn w:val="List2"/>
    <w:rsid w:val="00D1021E"/>
    <w:pPr>
      <w:ind w:firstLine="0"/>
    </w:pPr>
  </w:style>
  <w:style w:type="paragraph" w:styleId="ListContinue3">
    <w:name w:val="List Continue 3"/>
    <w:basedOn w:val="List3"/>
    <w:rsid w:val="00D1021E"/>
    <w:pPr>
      <w:ind w:left="1021" w:firstLine="0"/>
    </w:pPr>
  </w:style>
  <w:style w:type="paragraph" w:styleId="ListContinue4">
    <w:name w:val="List Continue 4"/>
    <w:basedOn w:val="List4"/>
    <w:rsid w:val="00D1021E"/>
    <w:pPr>
      <w:ind w:firstLine="0"/>
    </w:pPr>
  </w:style>
  <w:style w:type="paragraph" w:styleId="ListContinue5">
    <w:name w:val="List Continue 5"/>
    <w:basedOn w:val="List5"/>
    <w:rsid w:val="00D1021E"/>
    <w:pPr>
      <w:ind w:firstLine="0"/>
    </w:pPr>
  </w:style>
  <w:style w:type="paragraph" w:styleId="ListNumber3">
    <w:name w:val="List Number 3"/>
    <w:basedOn w:val="List3"/>
    <w:rsid w:val="00D1021E"/>
    <w:pPr>
      <w:numPr>
        <w:numId w:val="4"/>
      </w:numPr>
    </w:pPr>
  </w:style>
  <w:style w:type="paragraph" w:styleId="ListNumber4">
    <w:name w:val="List Number 4"/>
    <w:basedOn w:val="List4"/>
    <w:rsid w:val="00D1021E"/>
    <w:pPr>
      <w:numPr>
        <w:numId w:val="5"/>
      </w:numPr>
    </w:pPr>
  </w:style>
  <w:style w:type="paragraph" w:styleId="ListNumber5">
    <w:name w:val="List Number 5"/>
    <w:basedOn w:val="List5"/>
    <w:rsid w:val="00D1021E"/>
    <w:pPr>
      <w:numPr>
        <w:numId w:val="6"/>
      </w:numPr>
    </w:pPr>
  </w:style>
  <w:style w:type="paragraph" w:styleId="BlockText">
    <w:name w:val="Block Text"/>
    <w:basedOn w:val="Normal"/>
    <w:rsid w:val="00D10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21E"/>
    <w:rPr>
      <w:sz w:val="16"/>
      <w:vertAlign w:val="superscript"/>
    </w:rPr>
  </w:style>
  <w:style w:type="character" w:customStyle="1" w:styleId="Symbols">
    <w:name w:val="Symbols"/>
    <w:basedOn w:val="DefaultParagraphFont"/>
    <w:rsid w:val="00D1021E"/>
    <w:rPr>
      <w:rFonts w:ascii="Symbol" w:hAnsi="Symbol"/>
    </w:rPr>
  </w:style>
  <w:style w:type="character" w:customStyle="1" w:styleId="MenuOptions">
    <w:name w:val="Menu Options"/>
    <w:basedOn w:val="DefaultParagraphFont"/>
    <w:rsid w:val="00D10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21E"/>
    <w:rPr>
      <w:b/>
    </w:rPr>
  </w:style>
  <w:style w:type="character" w:customStyle="1" w:styleId="Underlined">
    <w:name w:val="Underlined"/>
    <w:basedOn w:val="DefaultParagraphFont"/>
    <w:rsid w:val="00D1021E"/>
    <w:rPr>
      <w:u w:val="single"/>
    </w:rPr>
  </w:style>
  <w:style w:type="paragraph" w:customStyle="1" w:styleId="TableBodyTextRight">
    <w:name w:val="Table Body Text Right"/>
    <w:basedOn w:val="TableBodyText"/>
    <w:rsid w:val="00D10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21E"/>
    <w:rPr>
      <w:sz w:val="18"/>
    </w:rPr>
  </w:style>
  <w:style w:type="paragraph" w:customStyle="1" w:styleId="BodySmallRight">
    <w:name w:val="Body Small Right"/>
    <w:basedOn w:val="BodyTextRight"/>
    <w:rsid w:val="00D1021E"/>
    <w:rPr>
      <w:sz w:val="18"/>
      <w:szCs w:val="18"/>
    </w:rPr>
  </w:style>
  <w:style w:type="paragraph" w:customStyle="1" w:styleId="MarginEdition">
    <w:name w:val="Margin Edition"/>
    <w:basedOn w:val="MarginNote"/>
    <w:rsid w:val="00D10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21E"/>
    <w:rPr>
      <w:sz w:val="2"/>
      <w:szCs w:val="2"/>
    </w:rPr>
  </w:style>
  <w:style w:type="character" w:customStyle="1" w:styleId="Small">
    <w:name w:val="Small"/>
    <w:basedOn w:val="DefaultParagraphFont"/>
    <w:rsid w:val="00D1021E"/>
    <w:rPr>
      <w:sz w:val="16"/>
    </w:rPr>
  </w:style>
  <w:style w:type="paragraph" w:customStyle="1" w:styleId="WideTable">
    <w:name w:val="Wide Table"/>
    <w:basedOn w:val="Normal"/>
    <w:rsid w:val="00D10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21E"/>
  </w:style>
  <w:style w:type="paragraph" w:styleId="Quote">
    <w:name w:val="Quote"/>
    <w:basedOn w:val="Heading1"/>
    <w:link w:val="QuoteChar"/>
    <w:qFormat/>
    <w:rsid w:val="00D10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21E"/>
    <w:pPr>
      <w:pageBreakBefore/>
    </w:pPr>
  </w:style>
  <w:style w:type="paragraph" w:customStyle="1" w:styleId="Border">
    <w:name w:val="Border"/>
    <w:basedOn w:val="Normal"/>
    <w:qFormat/>
    <w:rsid w:val="00D10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21E"/>
    <w:rPr>
      <w:u w:val="single"/>
    </w:rPr>
  </w:style>
  <w:style w:type="character" w:customStyle="1" w:styleId="BoldandItalics">
    <w:name w:val="Bold and Italics"/>
    <w:qFormat/>
    <w:rsid w:val="00D1021E"/>
    <w:rPr>
      <w:b/>
      <w:i/>
      <w:u w:val="none"/>
    </w:rPr>
  </w:style>
  <w:style w:type="paragraph" w:styleId="BalloonText">
    <w:name w:val="Balloon Text"/>
    <w:basedOn w:val="Normal"/>
    <w:link w:val="BalloonTextChar"/>
    <w:rsid w:val="00D10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21E"/>
    <w:pPr>
      <w:spacing w:before="0" w:after="0"/>
    </w:pPr>
  </w:style>
  <w:style w:type="paragraph" w:customStyle="1" w:styleId="BodyTextBold">
    <w:name w:val="Body Text Bold"/>
    <w:basedOn w:val="BodyText"/>
    <w:qFormat/>
    <w:rsid w:val="00D1021E"/>
    <w:rPr>
      <w:b/>
    </w:rPr>
  </w:style>
  <w:style w:type="character" w:styleId="Hyperlink">
    <w:name w:val="Hyperlink"/>
    <w:basedOn w:val="DefaultParagraphFont"/>
    <w:uiPriority w:val="99"/>
    <w:unhideWhenUsed/>
    <w:rsid w:val="00FB0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3656</Characters>
  <Application>Microsoft Office Word</Application>
  <DocSecurity>0</DocSecurity>
  <Lines>152</Lines>
  <Paragraphs>74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CPPSEC2024 Monitor and respond to electronic information from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