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CA6" w:rsidP="00685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CPPSEC2024 Monitor and respond to electronic information from security equipment and systems</w:t>
      </w:r>
      <w:r>
        <w:fldChar w:fldCharType="end"/>
      </w:r>
    </w:p>
    <w:p w:rsidR="00685CA6" w:rsidP="00685CA6">
      <w:pPr>
        <w:pStyle w:val="Version"/>
        <w:sectPr w:rsidSect="00DA1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42B" w:rsidP="00DA142B">
      <w:pPr>
        <w:pStyle w:val="SuperHeading"/>
      </w:pPr>
      <w:r w:rsidRPr="00DA142B">
        <w:t>CPPSEC2024 Monitor and respond to electronic information from security equipment and systems</w:t>
      </w:r>
    </w:p>
    <w:p w:rsidR="00000000" w:rsidRPr="00DA142B" w:rsidP="00DA142B">
      <w:pPr>
        <w:pStyle w:val="Heading1"/>
      </w:pPr>
      <w:bookmarkStart w:id="1" w:name="O_1052956"/>
      <w:bookmarkEnd w:id="1"/>
      <w:r w:rsidRPr="00DA1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42B" w:rsidP="00DA142B">
            <w:pPr>
              <w:pStyle w:val="BodyText"/>
            </w:pPr>
            <w:r w:rsidRPr="00DA142B">
              <w:t>This version first released with CPP Property Services Training Package Release 9.0.</w:t>
            </w:r>
          </w:p>
          <w:p w:rsidR="00000000" w:rsidRPr="00DA142B" w:rsidP="00DA142B">
            <w:pPr>
              <w:pStyle w:val="BodyText"/>
            </w:pPr>
            <w:r w:rsidRPr="00DA142B">
              <w:t>Supersedes and is equivalent to CPPSEC2024 Implement electronic monitoring procedures. Updated to meet the Standards for Training Packages.</w:t>
            </w:r>
          </w:p>
        </w:tc>
      </w:tr>
    </w:tbl>
    <w:p w:rsidR="00000000" w:rsidRPr="00DA142B" w:rsidP="00DA142B">
      <w:pPr>
        <w:pStyle w:val="BodyText"/>
      </w:pPr>
    </w:p>
    <w:p w:rsidR="00000000" w:rsidRPr="00DA142B" w:rsidP="00DA142B">
      <w:pPr>
        <w:pStyle w:val="AllowPageBreak"/>
      </w:pPr>
    </w:p>
    <w:p w:rsidR="00000000" w:rsidRPr="00DA142B" w:rsidP="00DA142B">
      <w:pPr>
        <w:pStyle w:val="Heading1"/>
      </w:pPr>
      <w:bookmarkStart w:id="2" w:name="O_1052962"/>
      <w:bookmarkEnd w:id="2"/>
      <w:r w:rsidRPr="00DA142B">
        <w:t>Application</w:t>
      </w:r>
    </w:p>
    <w:p w:rsidR="00000000" w:rsidRPr="00DA142B" w:rsidP="00685CA6">
      <w:pPr>
        <w:pStyle w:val="BodyText"/>
      </w:pPr>
      <w:r w:rsidRPr="00DA142B">
        <w:t>This unit specifies the skills and knowledge required to monitor and respond to ele</w:t>
      </w:r>
      <w:r w:rsidRPr="00DA142B">
        <w:t>ctronic information received from a range of security equipment and systems, including alarm monitoring management software.  It includes accurately interpreting electronic information and applying correct response procedures to a range of security situati</w:t>
      </w:r>
      <w:r w:rsidRPr="00DA142B">
        <w:t>ons.  Work is usually conducted from a secure electronic reporting facility, monitoring centre or control room.</w:t>
      </w:r>
    </w:p>
    <w:p w:rsidR="00000000" w:rsidRPr="00DA142B" w:rsidP="00685CA6">
      <w:pPr>
        <w:pStyle w:val="BodyText"/>
      </w:pPr>
      <w:r w:rsidRPr="00DA142B">
        <w:t>The unit is suitable for those with basic skills and knowledge undertaking routine work tasks under the direction of more experienced workers.</w:t>
      </w:r>
    </w:p>
    <w:p w:rsidR="00000000" w:rsidRPr="00DA142B" w:rsidP="00685CA6">
      <w:pPr>
        <w:pStyle w:val="BodyText"/>
      </w:pPr>
      <w:r w:rsidRPr="00DA142B">
        <w:t>L</w:t>
      </w:r>
      <w:r w:rsidRPr="00DA142B">
        <w:t>icensing, legislative or certification requirements apply to advising on, supplying, installing, maintaining, monitoring, repairing and servicing security equipment in some states and territories.  For further information, check with the relevant regulator</w:t>
      </w:r>
      <w:r w:rsidRPr="00DA142B">
        <w:t>y authority.</w:t>
      </w:r>
    </w:p>
    <w:p w:rsidR="00000000" w:rsidRPr="00DA142B" w:rsidP="00DA142B">
      <w:pPr>
        <w:pStyle w:val="Heading1"/>
      </w:pPr>
      <w:bookmarkStart w:id="3" w:name="O_1052961"/>
      <w:bookmarkEnd w:id="3"/>
      <w:r w:rsidRPr="00DA142B">
        <w:t>Pre-requisite Unit</w:t>
      </w:r>
    </w:p>
    <w:p w:rsidR="00000000" w:rsidRPr="00DA142B" w:rsidP="00685CA6">
      <w:pPr>
        <w:pStyle w:val="BodyText"/>
      </w:pPr>
      <w:r w:rsidRPr="00DA142B">
        <w:t>None.</w:t>
      </w:r>
    </w:p>
    <w:p w:rsidR="00000000" w:rsidRPr="00DA142B" w:rsidP="00DA142B">
      <w:pPr>
        <w:pStyle w:val="Heading1"/>
      </w:pPr>
      <w:bookmarkStart w:id="4" w:name="O_1052960"/>
      <w:bookmarkEnd w:id="4"/>
      <w:r w:rsidRPr="00DA142B">
        <w:t>Unit Sector</w:t>
      </w:r>
    </w:p>
    <w:p w:rsidR="00000000" w:rsidRPr="00DA142B" w:rsidP="00685CA6">
      <w:pPr>
        <w:pStyle w:val="BodyText"/>
      </w:pPr>
      <w:r w:rsidRPr="00DA142B">
        <w:t>Technical</w:t>
      </w:r>
    </w:p>
    <w:p w:rsidR="00000000" w:rsidRPr="00DA142B" w:rsidP="00DA142B">
      <w:pPr>
        <w:pStyle w:val="Heading1"/>
      </w:pPr>
      <w:bookmarkStart w:id="5" w:name="O_1052959"/>
      <w:bookmarkEnd w:id="5"/>
      <w:r w:rsidRPr="00DA14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Performance criteria describe what needs to be done to demonstrate achievement of the element.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Monitor electronic security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Review work instructions to confirm electronic monitoring requirements and timeframes and clarify issues with re</w:t>
            </w:r>
            <w:r w:rsidRPr="00DA142B">
              <w:t>levant persons.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Review and follow workplace policies and procedures including work health and safety when carrying out work tasks.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Inspect security equipment and system and check to ensure correct operation and connections following manufacturers’ instructions.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Clarify and comply with monitoring parameters for security equipment and system in accordance with workplace requireme</w:t>
            </w:r>
            <w:r w:rsidRPr="00DA142B">
              <w:t>nts.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Systematically monitor electronic information from security system and equipment according to work instructions.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Routinely cross-check security system and equipment with companion monitoring systems to verify accurate and reliable inform</w:t>
            </w:r>
            <w:r w:rsidRPr="00DA142B">
              <w:t>ation exchange according to workplace requirements.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Identify, correct or report faults or malfunctions in security system or equipment operation.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Respond to electronic security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Clarify response procedures with relevant persons.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Receive electronic security information and verify reliability and accuracy according to workplace requirements.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Identify and prioritise response to comply with required monitoring parameters.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Identify risks associated with changing circumstances and obtain approval from relevant persons to vary response.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Action required response to electronic security information according to workplace requirements.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Finalise electronic monitoring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Carry out back-up procedures to protect electronic security information.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Carry out change of shift procedures that ensure monitoring continuity.</w:t>
            </w:r>
          </w:p>
        </w:tc>
      </w:tr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42B" w:rsidP="00DA142B">
            <w:pPr>
              <w:pStyle w:val="BodyText"/>
            </w:pPr>
            <w:r w:rsidRPr="00DA142B">
              <w:t>Complete monitoring documentation ensuring accurate response records responses are accurately recorded according to workplace requirements.</w:t>
            </w:r>
          </w:p>
        </w:tc>
      </w:tr>
    </w:tbl>
    <w:p w:rsidR="00000000" w:rsidRPr="00DA142B" w:rsidP="00DA142B">
      <w:pPr>
        <w:pStyle w:val="BodyText"/>
      </w:pPr>
    </w:p>
    <w:p w:rsidR="00000000" w:rsidRPr="00DA142B" w:rsidP="00DA142B">
      <w:pPr>
        <w:pStyle w:val="AllowPageBreak"/>
      </w:pPr>
    </w:p>
    <w:p w:rsidR="00000000" w:rsidRPr="00DA142B" w:rsidP="00DA142B">
      <w:pPr>
        <w:pStyle w:val="Heading1"/>
      </w:pPr>
      <w:bookmarkStart w:id="6" w:name="O_1052958"/>
      <w:bookmarkEnd w:id="6"/>
      <w:r w:rsidRPr="00DA142B">
        <w:t>Foundation Skill</w:t>
      </w:r>
      <w:r w:rsidRPr="00DA142B">
        <w:t>s</w:t>
      </w:r>
    </w:p>
    <w:p w:rsidR="00000000" w:rsidRPr="00DA142B" w:rsidP="00685CA6">
      <w:pPr>
        <w:pStyle w:val="BodyText"/>
      </w:pPr>
      <w:r w:rsidRPr="00DA142B">
        <w:t>As well as the foundation skills explicit in the performance criteria of this unit, candidates require:</w:t>
      </w:r>
    </w:p>
    <w:p w:rsidR="00000000" w:rsidRPr="00DA142B" w:rsidP="00DA142B">
      <w:pPr>
        <w:pStyle w:val="ListBullet"/>
      </w:pPr>
      <w:r w:rsidRPr="00DA142B">
        <w:t>reading skills to understand and follow written and diagrammatic instructions when operating electronic security equipment</w:t>
      </w:r>
    </w:p>
    <w:p w:rsidR="00000000" w:rsidRPr="00DA142B" w:rsidP="00DA142B">
      <w:pPr>
        <w:pStyle w:val="ListBullet"/>
      </w:pPr>
      <w:r w:rsidRPr="00DA142B">
        <w:t>numeracy skills to calculate and enter numerical data into security systems.</w:t>
      </w:r>
    </w:p>
    <w:p w:rsidR="00000000" w:rsidRPr="00DA142B" w:rsidP="00DA142B">
      <w:pPr>
        <w:pStyle w:val="AllowPageBreak"/>
      </w:pPr>
    </w:p>
    <w:p w:rsidR="00000000" w:rsidRPr="00DA142B" w:rsidP="00DA142B">
      <w:pPr>
        <w:pStyle w:val="Heading1"/>
      </w:pPr>
      <w:bookmarkStart w:id="7" w:name="O_1052957"/>
      <w:bookmarkEnd w:id="7"/>
      <w:r w:rsidRPr="00DA142B">
        <w:t>Unit Mapping Information</w:t>
      </w:r>
    </w:p>
    <w:p w:rsidR="00000000" w:rsidRPr="00DA142B" w:rsidP="00685CA6">
      <w:pPr>
        <w:pStyle w:val="BodyText"/>
      </w:pPr>
      <w:r w:rsidRPr="00DA142B">
        <w:t>Supersedes and equivalent to CPPSEC2024A Implement electronic monitoring procedures.</w:t>
      </w:r>
    </w:p>
    <w:p w:rsidR="00000000" w:rsidRPr="00DA142B" w:rsidP="00DA142B">
      <w:pPr>
        <w:pStyle w:val="Heading1"/>
      </w:pPr>
      <w:bookmarkStart w:id="8" w:name="O_1052950"/>
      <w:bookmarkEnd w:id="8"/>
      <w:r w:rsidRPr="00DA142B">
        <w:t>Links</w:t>
      </w:r>
    </w:p>
    <w:p w:rsidR="00000000" w:rsidRPr="00DA142B" w:rsidP="00685CA6">
      <w:pPr>
        <w:pStyle w:val="BodyText"/>
      </w:pPr>
      <w:r w:rsidRPr="00DA142B">
        <w:t>Companion volumes to this</w:t>
      </w:r>
      <w:r w:rsidRPr="00DA142B">
        <w:t xml:space="preserve">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D7C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142B" w:rsidP="00685CA6">
      <w:pPr>
        <w:pStyle w:val="BodyText"/>
        <w:sectPr w:rsidSect="00DA14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142B" w:rsidP="00DA142B">
      <w:pPr>
        <w:pStyle w:val="SuperHeading"/>
      </w:pPr>
      <w:r w:rsidRPr="00DA142B">
        <w:t>Assessment Requirements for CPPSEC2024 Monitor and respond to electr</w:t>
      </w:r>
      <w:r w:rsidRPr="00DA142B">
        <w:t>onic information from security equipment and systems</w:t>
      </w:r>
    </w:p>
    <w:p w:rsidR="00000000" w:rsidRPr="00DA142B" w:rsidP="00DA142B">
      <w:pPr>
        <w:pStyle w:val="Heading1"/>
      </w:pPr>
      <w:bookmarkStart w:id="9" w:name="O_1052952"/>
      <w:bookmarkEnd w:id="9"/>
      <w:r w:rsidRPr="00DA1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1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42B">
            <w:pPr>
              <w:pStyle w:val="BodyText"/>
              <w:rPr>
                <w:lang w:val="en-NZ"/>
              </w:rPr>
            </w:pPr>
            <w:r w:rsidRPr="00DA14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42B" w:rsidP="00DA142B">
            <w:pPr>
              <w:pStyle w:val="BodyText"/>
            </w:pPr>
            <w:r w:rsidRPr="00DA142B">
              <w:t>This version first released with CPP Property Services Training Package Release 9.0.</w:t>
            </w:r>
          </w:p>
          <w:p w:rsidR="00000000" w:rsidRPr="00DA142B" w:rsidP="00DA142B">
            <w:pPr>
              <w:pStyle w:val="BodyText"/>
            </w:pPr>
            <w:r w:rsidRPr="00DA142B">
              <w:t>Supersedes and is equivalent to CPPSEC2024 Implement electronic monit</w:t>
            </w:r>
            <w:r w:rsidRPr="00DA142B">
              <w:t>oring procedures. Updated to meet the Standards for Training Packages.</w:t>
            </w:r>
          </w:p>
        </w:tc>
      </w:tr>
    </w:tbl>
    <w:p w:rsidR="00000000" w:rsidRPr="00DA142B" w:rsidP="00DA142B">
      <w:pPr>
        <w:pStyle w:val="BodyText"/>
      </w:pPr>
    </w:p>
    <w:p w:rsidR="00000000" w:rsidRPr="00DA142B" w:rsidP="00DA142B">
      <w:pPr>
        <w:pStyle w:val="AllowPageBreak"/>
      </w:pPr>
    </w:p>
    <w:p w:rsidR="00000000" w:rsidRPr="00DA142B" w:rsidP="00DA142B">
      <w:pPr>
        <w:pStyle w:val="Heading1"/>
      </w:pPr>
      <w:bookmarkStart w:id="10" w:name="O_1052955"/>
      <w:bookmarkEnd w:id="10"/>
      <w:r w:rsidRPr="00DA142B">
        <w:t>Performance Evidence</w:t>
      </w:r>
    </w:p>
    <w:p w:rsidR="00000000" w:rsidRPr="00DA142B" w:rsidP="00685CA6">
      <w:pPr>
        <w:pStyle w:val="BodyText"/>
      </w:pPr>
      <w:r w:rsidRPr="00DA142B">
        <w:t>To demonstrate competency, a candidate must meet the performance criteria of this unit by monitoring electronic information from security equipment and systems for three different shifts and actioning a minimum of six responses to electronic security infor</w:t>
      </w:r>
      <w:r w:rsidRPr="00DA142B">
        <w:t>mation.</w:t>
      </w:r>
    </w:p>
    <w:p w:rsidR="00000000" w:rsidRPr="00DA142B" w:rsidP="00DA142B">
      <w:pPr>
        <w:pStyle w:val="Heading1"/>
      </w:pPr>
      <w:bookmarkStart w:id="11" w:name="O_1052954"/>
      <w:bookmarkEnd w:id="11"/>
      <w:r w:rsidRPr="00DA142B">
        <w:t>Knowledge Evidence</w:t>
      </w:r>
    </w:p>
    <w:p w:rsidR="00000000" w:rsidRPr="00DA142B" w:rsidP="00685CA6">
      <w:pPr>
        <w:pStyle w:val="BodyText"/>
      </w:pPr>
      <w:r w:rsidRPr="00DA142B">
        <w:t>To be competent in this unit, a candidate must demonstrate knowledge of:</w:t>
      </w:r>
    </w:p>
    <w:p w:rsidR="00000000" w:rsidRPr="00DA142B" w:rsidP="00DA142B">
      <w:pPr>
        <w:pStyle w:val="ListBullet"/>
      </w:pPr>
      <w:r w:rsidRPr="00DA142B">
        <w:t xml:space="preserve">workplace policies and procedures that ensure compliance with legislative and regulatory requirements when monitoring and responding to </w:t>
      </w:r>
      <w:r w:rsidRPr="00DA142B">
        <w:t>electronic information from security equipment and systems:</w:t>
      </w:r>
    </w:p>
    <w:p w:rsidR="00000000" w:rsidRPr="00DA142B" w:rsidP="00DA142B">
      <w:pPr>
        <w:pStyle w:val="ListBullet2"/>
      </w:pPr>
      <w:r w:rsidRPr="00DA142B">
        <w:t>licensing requirements and limits of own authority</w:t>
      </w:r>
    </w:p>
    <w:p w:rsidR="00000000" w:rsidRPr="00DA142B" w:rsidP="00DA142B">
      <w:pPr>
        <w:pStyle w:val="ListBullet2"/>
      </w:pPr>
      <w:r w:rsidRPr="00DA142B">
        <w:t>privacy requirements</w:t>
      </w:r>
    </w:p>
    <w:p w:rsidR="00000000" w:rsidRPr="00DA142B" w:rsidP="00DA142B">
      <w:pPr>
        <w:pStyle w:val="ListBullet2"/>
      </w:pPr>
      <w:r w:rsidRPr="00DA142B">
        <w:t>work health and safety</w:t>
      </w:r>
    </w:p>
    <w:p w:rsidR="00000000" w:rsidRPr="00DA142B" w:rsidP="00DA142B">
      <w:pPr>
        <w:pStyle w:val="ListBullet"/>
      </w:pPr>
      <w:r w:rsidRPr="00DA142B">
        <w:t>change of shift procedures for workplace</w:t>
      </w:r>
    </w:p>
    <w:p w:rsidR="00000000" w:rsidRPr="00DA142B" w:rsidP="00DA142B">
      <w:pPr>
        <w:pStyle w:val="ListBullet"/>
      </w:pPr>
      <w:r w:rsidRPr="00DA142B">
        <w:t>common electronic monitoring equipment and system configurations and programs</w:t>
      </w:r>
    </w:p>
    <w:p w:rsidR="00000000" w:rsidRPr="00DA142B" w:rsidP="00DA142B">
      <w:pPr>
        <w:pStyle w:val="ListBullet"/>
      </w:pPr>
      <w:r w:rsidRPr="00DA142B">
        <w:t>common faults and malfunctions in security equipment and systems</w:t>
      </w:r>
    </w:p>
    <w:p w:rsidR="00000000" w:rsidRPr="00DA142B" w:rsidP="00DA142B">
      <w:pPr>
        <w:pStyle w:val="ListBullet"/>
      </w:pPr>
      <w:r w:rsidRPr="00DA142B">
        <w:t>common keypad and control panel types and functions associated with electronic security systems and equipment</w:t>
      </w:r>
    </w:p>
    <w:p w:rsidR="00000000" w:rsidRPr="00DA142B" w:rsidP="00DA142B">
      <w:pPr>
        <w:pStyle w:val="ListBullet"/>
      </w:pPr>
      <w:r w:rsidRPr="00DA142B">
        <w:t>com</w:t>
      </w:r>
      <w:r w:rsidRPr="00DA142B">
        <w:t>puter software and software templates used for monitoring functions in security systems</w:t>
      </w:r>
    </w:p>
    <w:p w:rsidR="00000000" w:rsidRPr="00DA142B" w:rsidP="00DA142B">
      <w:pPr>
        <w:pStyle w:val="ListBullet"/>
      </w:pPr>
      <w:r w:rsidRPr="00DA142B">
        <w:t>documentation to be completed when monitoring and responding to electronic security information</w:t>
      </w:r>
    </w:p>
    <w:p w:rsidR="00000000" w:rsidRPr="00DA142B" w:rsidP="00DA142B">
      <w:pPr>
        <w:pStyle w:val="ListBullet"/>
      </w:pPr>
      <w:r w:rsidRPr="00DA142B">
        <w:t xml:space="preserve">methods for prioritising response options when monitoring and receiving </w:t>
      </w:r>
      <w:r w:rsidRPr="00DA142B">
        <w:t>electronic security information</w:t>
      </w:r>
    </w:p>
    <w:p w:rsidR="00000000" w:rsidRPr="00DA142B" w:rsidP="00DA142B">
      <w:pPr>
        <w:pStyle w:val="ListBullet"/>
      </w:pPr>
      <w:r w:rsidRPr="00DA142B">
        <w:t>monitoring and response parameters for electronic security systems and equipment</w:t>
      </w:r>
    </w:p>
    <w:p w:rsidR="00000000" w:rsidRPr="00DA142B" w:rsidP="00DA142B">
      <w:pPr>
        <w:pStyle w:val="ListBullet"/>
      </w:pPr>
      <w:r w:rsidRPr="00DA142B">
        <w:t>operating principles and functions of a range of electronic security systems and equipment</w:t>
      </w:r>
    </w:p>
    <w:p w:rsidR="00000000" w:rsidRPr="00DA142B" w:rsidP="00DA142B">
      <w:pPr>
        <w:pStyle w:val="ListBullet"/>
      </w:pPr>
      <w:r w:rsidRPr="00DA142B">
        <w:t>procedures for verifying the authenticity of electro</w:t>
      </w:r>
      <w:r w:rsidRPr="00DA142B">
        <w:t>nic information received from security equipment and systems</w:t>
      </w:r>
    </w:p>
    <w:p w:rsidR="00000000" w:rsidRPr="00DA142B" w:rsidP="00DA142B">
      <w:pPr>
        <w:pStyle w:val="ListBullet"/>
      </w:pPr>
      <w:r w:rsidRPr="00DA142B">
        <w:t>procedures to back-up and protect electronic security information</w:t>
      </w:r>
    </w:p>
    <w:p w:rsidR="00000000" w:rsidRPr="00DA142B" w:rsidP="00DA142B">
      <w:pPr>
        <w:pStyle w:val="ListBullet"/>
      </w:pPr>
      <w:r w:rsidRPr="00DA142B">
        <w:t>situations presenting risk and requiring approval to vary response</w:t>
      </w:r>
    </w:p>
    <w:p w:rsidR="00000000" w:rsidRPr="00DA142B" w:rsidP="00DA142B">
      <w:pPr>
        <w:pStyle w:val="ListBullet"/>
      </w:pPr>
      <w:r w:rsidRPr="00DA142B">
        <w:t>types of alarm transmission technologies including wireless and internet protocol monitoring and dialler monitoring.</w:t>
      </w:r>
    </w:p>
    <w:p w:rsidR="00000000" w:rsidRPr="00DA142B" w:rsidP="00DA142B">
      <w:pPr>
        <w:pStyle w:val="AllowPageBreak"/>
      </w:pPr>
    </w:p>
    <w:p w:rsidR="00000000" w:rsidRPr="00DA142B" w:rsidP="00DA142B">
      <w:pPr>
        <w:pStyle w:val="Heading1"/>
      </w:pPr>
      <w:bookmarkStart w:id="12" w:name="O_1052953"/>
      <w:bookmarkEnd w:id="12"/>
      <w:r w:rsidRPr="00DA142B">
        <w:t>Assessment Conditions</w:t>
      </w:r>
    </w:p>
    <w:p w:rsidR="00000000" w:rsidRPr="00DA142B" w:rsidP="00685CA6">
      <w:pPr>
        <w:pStyle w:val="BodyText"/>
      </w:pPr>
      <w:r w:rsidRPr="00DA142B">
        <w:t>Assessors must meet the requirements for assessors contained in the Standards for Registered Train</w:t>
      </w:r>
      <w:r w:rsidRPr="00DA142B">
        <w:t>ing Organisations.</w:t>
      </w:r>
    </w:p>
    <w:p w:rsidR="00000000" w:rsidRPr="00DA142B" w:rsidP="00685CA6">
      <w:pPr>
        <w:pStyle w:val="BodyText"/>
      </w:pPr>
      <w:r w:rsidRPr="00DA142B">
        <w:t>All individuals engaged by a licensed RTO for security licensing purposes must hold both a security trainers licence (where such a licence exists within the relevant jurisdiction) and the licence for performing the security activities fo</w:t>
      </w:r>
      <w:r w:rsidRPr="00DA142B">
        <w:t>r which the individual is providing training or assessment.  Regulators may impose other assessor conditions to meet jurisdictional assessment requirements.</w:t>
      </w:r>
    </w:p>
    <w:p w:rsidR="00000000" w:rsidRPr="00DA142B" w:rsidP="00685CA6">
      <w:pPr>
        <w:pStyle w:val="BodyText"/>
      </w:pPr>
      <w:r w:rsidRPr="00DA142B">
        <w:t>Assessment must be conducted in the workplace or in a simulated workplace environment. Candidates m</w:t>
      </w:r>
      <w:r w:rsidRPr="00DA142B">
        <w:t>ust have access to:</w:t>
      </w:r>
    </w:p>
    <w:p w:rsidR="00000000" w:rsidRPr="00DA142B" w:rsidP="00DA142B">
      <w:pPr>
        <w:pStyle w:val="ListBullet"/>
      </w:pPr>
      <w:r w:rsidRPr="00DA142B">
        <w:t xml:space="preserve">workplace policies and procedures, work task specifications for monitoring and responding to electronic information from security equipment and systems, and electronic security equipment and systems required to achieve the performance </w:t>
      </w:r>
      <w:r w:rsidRPr="00DA142B">
        <w:t>evidence.</w:t>
      </w:r>
    </w:p>
    <w:p w:rsidR="00000000" w:rsidRPr="00DA142B" w:rsidP="00DA142B">
      <w:pPr>
        <w:pStyle w:val="AllowPageBreak"/>
      </w:pPr>
    </w:p>
    <w:p w:rsidR="00000000" w:rsidRPr="00DA142B" w:rsidP="00DA142B">
      <w:pPr>
        <w:pStyle w:val="Heading1"/>
      </w:pPr>
      <w:bookmarkStart w:id="13" w:name="O_1052951"/>
      <w:bookmarkEnd w:id="13"/>
      <w:r w:rsidRPr="00DA142B">
        <w:t>Links</w:t>
      </w:r>
    </w:p>
    <w:p w:rsidR="00000000" w:rsidRPr="00DA142B" w:rsidP="00685CA6">
      <w:pPr>
        <w:pStyle w:val="BodyText"/>
      </w:pPr>
      <w:r w:rsidRPr="00DA14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D7C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142B" w:rsidP="00DA142B"/>
    <w:sectPr w:rsidSect="00DA14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 w:rsidRPr="00685CA6" w:rsidP="00685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A6" w:rsidP="00DA1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CA6" w:rsidP="00DA1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5CA6" w:rsidP="00DA14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 w:rsidP="00DA1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5CA6">
      <w:t>Approved</w:t>
    </w:r>
    <w:r w:rsidR="00685C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5C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5CA6">
      <w:rPr>
        <w:noProof/>
      </w:rPr>
      <w:t>4</w:t>
    </w:r>
    <w:r>
      <w:rPr>
        <w:noProof/>
      </w:rPr>
      <w:fldChar w:fldCharType="end"/>
    </w:r>
  </w:p>
  <w:p w:rsidR="00DA142B" w:rsidP="00DA1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5C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5CA6">
      <w:t>BuildSkills Australia</w:t>
    </w:r>
    <w:r w:rsidR="00685CA6">
      <w:fldChar w:fldCharType="end"/>
    </w:r>
  </w:p>
  <w:p w:rsidR="00DA142B" w:rsidP="00DA1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42B" w:rsidRPr="00685CA6" w:rsidP="00685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CA6" w:rsidRPr="002D2AF8" w:rsidP="00DA1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CPPSEC2024 Monitor and respond to electronic information from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5CA6" w:rsidP="00DA14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42B" w:rsidRPr="002D2AF8" w:rsidP="00DA1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5CA6">
      <w:t>CPPSEC2024 Monitor and respond to electronic information from security equipment and systems</w:t>
    </w:r>
    <w:r w:rsidR="00685C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5CA6">
      <w:rPr>
        <w:noProof/>
      </w:rPr>
      <w:t>2 March 2025</w:t>
    </w:r>
    <w:r>
      <w:fldChar w:fldCharType="end"/>
    </w:r>
  </w:p>
  <w:p w:rsidR="00DA142B" w:rsidP="00DA1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64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A0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ED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42B"/>
  </w:style>
  <w:style w:type="character" w:customStyle="1" w:styleId="Heading1Char">
    <w:name w:val="Heading 1 Char"/>
    <w:basedOn w:val="DefaultParagraphFont"/>
    <w:link w:val="Heading1"/>
    <w:rsid w:val="00DA1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4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14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1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142B"/>
    <w:rPr>
      <w:b/>
      <w:spacing w:val="0"/>
    </w:rPr>
  </w:style>
  <w:style w:type="paragraph" w:customStyle="1" w:styleId="SuperTitle">
    <w:name w:val="SuperTitle"/>
    <w:basedOn w:val="Title"/>
    <w:rsid w:val="00DA1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1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4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42B"/>
    <w:rPr>
      <w:i/>
    </w:rPr>
  </w:style>
  <w:style w:type="paragraph" w:styleId="Caption">
    <w:name w:val="caption"/>
    <w:basedOn w:val="BodyText"/>
    <w:next w:val="Normal"/>
    <w:qFormat/>
    <w:rsid w:val="00DA1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42B"/>
  </w:style>
  <w:style w:type="paragraph" w:styleId="TableofFigures">
    <w:name w:val="table of figures"/>
    <w:basedOn w:val="Normal"/>
    <w:next w:val="Normal"/>
    <w:semiHidden/>
    <w:rsid w:val="00DA1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4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142B"/>
    <w:rPr>
      <w:rFonts w:ascii="Wingdings" w:hAnsi="Wingdings"/>
    </w:rPr>
  </w:style>
  <w:style w:type="paragraph" w:customStyle="1" w:styleId="TableHeading">
    <w:name w:val="Table Heading"/>
    <w:basedOn w:val="HeadingBase"/>
    <w:rsid w:val="00DA1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42B"/>
    <w:rPr>
      <w:color w:val="0033CC"/>
      <w:u w:val="none"/>
    </w:rPr>
  </w:style>
  <w:style w:type="paragraph" w:customStyle="1" w:styleId="BodyTextRight">
    <w:name w:val="Body Text Right"/>
    <w:basedOn w:val="BodyText"/>
    <w:rsid w:val="00DA1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4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42B"/>
    <w:rPr>
      <w:sz w:val="32"/>
    </w:rPr>
  </w:style>
  <w:style w:type="paragraph" w:customStyle="1" w:styleId="HeadingProcedure">
    <w:name w:val="Heading Procedure"/>
    <w:basedOn w:val="HeadingBase"/>
    <w:next w:val="Normal"/>
    <w:rsid w:val="00DA1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42B"/>
    <w:pPr>
      <w:spacing w:before="60" w:after="60"/>
    </w:pPr>
  </w:style>
  <w:style w:type="paragraph" w:styleId="ListContinue">
    <w:name w:val="List Continue"/>
    <w:basedOn w:val="List"/>
    <w:rsid w:val="00DA142B"/>
    <w:pPr>
      <w:ind w:firstLine="0"/>
    </w:pPr>
  </w:style>
  <w:style w:type="paragraph" w:customStyle="1" w:styleId="ListNote">
    <w:name w:val="List Note"/>
    <w:basedOn w:val="List"/>
    <w:rsid w:val="00DA1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42B"/>
    <w:rPr>
      <w:rFonts w:ascii="Courier New" w:hAnsi="Courier New"/>
    </w:rPr>
  </w:style>
  <w:style w:type="paragraph" w:customStyle="1" w:styleId="NoteBullet">
    <w:name w:val="Note Bullet"/>
    <w:basedOn w:val="Note"/>
    <w:rsid w:val="00DA1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4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1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42B"/>
    <w:rPr>
      <w:b/>
      <w:smallCaps/>
    </w:rPr>
  </w:style>
  <w:style w:type="paragraph" w:customStyle="1" w:styleId="TableListNumber">
    <w:name w:val="Table List Number"/>
    <w:basedOn w:val="ListNumber"/>
    <w:rsid w:val="00DA1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42B"/>
    <w:pPr>
      <w:numPr>
        <w:numId w:val="9"/>
      </w:numPr>
    </w:pPr>
  </w:style>
  <w:style w:type="paragraph" w:customStyle="1" w:styleId="ListAlpha2">
    <w:name w:val="List Alpha 2"/>
    <w:basedOn w:val="List2"/>
    <w:rsid w:val="00DA142B"/>
    <w:pPr>
      <w:numPr>
        <w:numId w:val="8"/>
      </w:numPr>
    </w:pPr>
  </w:style>
  <w:style w:type="paragraph" w:styleId="List2">
    <w:name w:val="List 2"/>
    <w:basedOn w:val="BodyText"/>
    <w:rsid w:val="00DA1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4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4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142B"/>
    <w:pPr>
      <w:numPr>
        <w:numId w:val="4"/>
      </w:numPr>
    </w:pPr>
  </w:style>
  <w:style w:type="paragraph" w:styleId="ListContinue2">
    <w:name w:val="List Continue 2"/>
    <w:basedOn w:val="List2"/>
    <w:rsid w:val="00DA142B"/>
    <w:pPr>
      <w:ind w:firstLine="0"/>
    </w:pPr>
  </w:style>
  <w:style w:type="paragraph" w:styleId="ListContinue3">
    <w:name w:val="List Continue 3"/>
    <w:basedOn w:val="List3"/>
    <w:rsid w:val="00DA142B"/>
    <w:pPr>
      <w:ind w:left="1021" w:firstLine="0"/>
    </w:pPr>
  </w:style>
  <w:style w:type="paragraph" w:styleId="ListContinue4">
    <w:name w:val="List Continue 4"/>
    <w:basedOn w:val="List4"/>
    <w:rsid w:val="00DA142B"/>
    <w:pPr>
      <w:ind w:firstLine="0"/>
    </w:pPr>
  </w:style>
  <w:style w:type="paragraph" w:styleId="ListContinue5">
    <w:name w:val="List Continue 5"/>
    <w:basedOn w:val="List5"/>
    <w:rsid w:val="00DA142B"/>
    <w:pPr>
      <w:ind w:firstLine="0"/>
    </w:pPr>
  </w:style>
  <w:style w:type="paragraph" w:styleId="ListNumber3">
    <w:name w:val="List Number 3"/>
    <w:basedOn w:val="List3"/>
    <w:rsid w:val="00DA142B"/>
    <w:pPr>
      <w:numPr>
        <w:numId w:val="5"/>
      </w:numPr>
    </w:pPr>
  </w:style>
  <w:style w:type="paragraph" w:styleId="ListNumber4">
    <w:name w:val="List Number 4"/>
    <w:basedOn w:val="List4"/>
    <w:rsid w:val="00DA142B"/>
    <w:pPr>
      <w:numPr>
        <w:numId w:val="6"/>
      </w:numPr>
    </w:pPr>
  </w:style>
  <w:style w:type="paragraph" w:styleId="ListNumber5">
    <w:name w:val="List Number 5"/>
    <w:basedOn w:val="List5"/>
    <w:rsid w:val="00DA142B"/>
    <w:pPr>
      <w:numPr>
        <w:numId w:val="7"/>
      </w:numPr>
    </w:pPr>
  </w:style>
  <w:style w:type="paragraph" w:styleId="BlockText">
    <w:name w:val="Block Text"/>
    <w:basedOn w:val="Normal"/>
    <w:rsid w:val="00DA1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42B"/>
    <w:rPr>
      <w:sz w:val="16"/>
      <w:vertAlign w:val="superscript"/>
    </w:rPr>
  </w:style>
  <w:style w:type="character" w:customStyle="1" w:styleId="Symbols">
    <w:name w:val="Symbols"/>
    <w:basedOn w:val="DefaultParagraphFont"/>
    <w:rsid w:val="00DA142B"/>
    <w:rPr>
      <w:rFonts w:ascii="Symbol" w:hAnsi="Symbol"/>
    </w:rPr>
  </w:style>
  <w:style w:type="character" w:customStyle="1" w:styleId="MenuOptions">
    <w:name w:val="Menu Options"/>
    <w:basedOn w:val="DefaultParagraphFont"/>
    <w:rsid w:val="00DA1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42B"/>
    <w:rPr>
      <w:b/>
    </w:rPr>
  </w:style>
  <w:style w:type="character" w:customStyle="1" w:styleId="Underlined">
    <w:name w:val="Underlined"/>
    <w:basedOn w:val="DefaultParagraphFont"/>
    <w:rsid w:val="00DA142B"/>
    <w:rPr>
      <w:u w:val="single"/>
    </w:rPr>
  </w:style>
  <w:style w:type="paragraph" w:customStyle="1" w:styleId="TableBodyTextRight">
    <w:name w:val="Table Body Text Right"/>
    <w:basedOn w:val="TableBodyText"/>
    <w:rsid w:val="00DA1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42B"/>
    <w:rPr>
      <w:sz w:val="18"/>
    </w:rPr>
  </w:style>
  <w:style w:type="paragraph" w:customStyle="1" w:styleId="BodySmallRight">
    <w:name w:val="Body Small Right"/>
    <w:basedOn w:val="BodyTextRight"/>
    <w:rsid w:val="00DA142B"/>
    <w:rPr>
      <w:sz w:val="18"/>
      <w:szCs w:val="18"/>
    </w:rPr>
  </w:style>
  <w:style w:type="paragraph" w:customStyle="1" w:styleId="MarginEdition">
    <w:name w:val="Margin Edition"/>
    <w:basedOn w:val="MarginNote"/>
    <w:rsid w:val="00DA1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42B"/>
    <w:rPr>
      <w:sz w:val="2"/>
      <w:szCs w:val="2"/>
    </w:rPr>
  </w:style>
  <w:style w:type="character" w:customStyle="1" w:styleId="Small">
    <w:name w:val="Small"/>
    <w:basedOn w:val="DefaultParagraphFont"/>
    <w:rsid w:val="00DA142B"/>
    <w:rPr>
      <w:sz w:val="16"/>
    </w:rPr>
  </w:style>
  <w:style w:type="paragraph" w:customStyle="1" w:styleId="WideTable">
    <w:name w:val="Wide Table"/>
    <w:basedOn w:val="Normal"/>
    <w:rsid w:val="00DA1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42B"/>
  </w:style>
  <w:style w:type="paragraph" w:styleId="Quote">
    <w:name w:val="Quote"/>
    <w:basedOn w:val="Heading1"/>
    <w:link w:val="QuoteChar"/>
    <w:qFormat/>
    <w:rsid w:val="00DA1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42B"/>
    <w:pPr>
      <w:pageBreakBefore/>
    </w:pPr>
  </w:style>
  <w:style w:type="paragraph" w:customStyle="1" w:styleId="Border">
    <w:name w:val="Border"/>
    <w:basedOn w:val="Normal"/>
    <w:qFormat/>
    <w:rsid w:val="00DA1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42B"/>
    <w:rPr>
      <w:u w:val="single"/>
    </w:rPr>
  </w:style>
  <w:style w:type="character" w:customStyle="1" w:styleId="BoldandItalics">
    <w:name w:val="Bold and Italics"/>
    <w:qFormat/>
    <w:rsid w:val="00DA142B"/>
    <w:rPr>
      <w:b/>
      <w:i/>
      <w:u w:val="none"/>
    </w:rPr>
  </w:style>
  <w:style w:type="paragraph" w:styleId="BalloonText">
    <w:name w:val="Balloon Text"/>
    <w:basedOn w:val="Normal"/>
    <w:link w:val="BalloonTextChar"/>
    <w:rsid w:val="00DA1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42B"/>
    <w:pPr>
      <w:spacing w:before="0" w:after="0"/>
    </w:pPr>
  </w:style>
  <w:style w:type="paragraph" w:customStyle="1" w:styleId="BodyTextBold">
    <w:name w:val="Body Text Bold"/>
    <w:basedOn w:val="BodyText"/>
    <w:qFormat/>
    <w:rsid w:val="00DA142B"/>
    <w:rPr>
      <w:b/>
    </w:rPr>
  </w:style>
  <w:style w:type="character" w:styleId="Hyperlink">
    <w:name w:val="Hyperlink"/>
    <w:basedOn w:val="DefaultParagraphFont"/>
    <w:uiPriority w:val="99"/>
    <w:unhideWhenUsed/>
    <w:rsid w:val="00685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6567</Characters>
  <Application>Microsoft Office Word</Application>
  <DocSecurity>0</DocSecurity>
  <Lines>218</Lines>
  <Paragraphs>112</Paragraphs>
  <ScaleCrop>false</ScaleCrop>
  <Company>Author-it Software Corporation Ltd.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CPPSEC2024 Monitor and respond to electronic information from security equipment and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