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2207" w:rsidP="000D2207">
      <w:pPr>
        <w:pStyle w:val="Title"/>
      </w:pPr>
      <w:r>
        <w:fldChar w:fldCharType="begin"/>
      </w:r>
      <w:r>
        <w:instrText xml:space="preserve"> TITLE   \* MERGEFORMAT </w:instrText>
      </w:r>
      <w:r>
        <w:fldChar w:fldCharType="separate"/>
      </w:r>
      <w:r>
        <w:t>CPPSCM4056 Manage conflicts and disputes in strata community management</w:t>
      </w:r>
      <w:r>
        <w:fldChar w:fldCharType="end"/>
      </w:r>
    </w:p>
    <w:p w:rsidR="000D2207" w:rsidP="000D2207">
      <w:pPr>
        <w:pStyle w:val="Version"/>
        <w:sectPr w:rsidSect="00DE67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674E" w:rsidP="00DE674E">
      <w:pPr>
        <w:pStyle w:val="SuperHeading"/>
      </w:pPr>
      <w:r w:rsidRPr="00DE674E">
        <w:t>CPPSCM4056 Manage conflicts and disputes in strata community management</w:t>
      </w:r>
    </w:p>
    <w:p w:rsidR="00000000" w:rsidRPr="00DE674E" w:rsidP="00DE674E">
      <w:pPr>
        <w:pStyle w:val="Heading1"/>
      </w:pPr>
      <w:bookmarkStart w:id="1" w:name="O_1197060"/>
      <w:bookmarkEnd w:id="1"/>
      <w:r w:rsidRPr="00DE674E">
        <w:t>Modification History</w:t>
      </w:r>
    </w:p>
    <w:tbl>
      <w:tblPr>
        <w:tblW w:w="0" w:type="auto"/>
        <w:tblLayout w:type="fixed"/>
        <w:tblCellMar>
          <w:left w:w="62" w:type="dxa"/>
          <w:right w:w="62" w:type="dxa"/>
        </w:tblCellMar>
        <w:tblLook w:val="0000"/>
      </w:tblPr>
      <w:tblGrid>
        <w:gridCol w:w="1066"/>
        <w:gridCol w:w="7944"/>
      </w:tblGrid>
      <w:tr w:rsidTr="00DE674E">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DE674E">
            <w:pPr>
              <w:pStyle w:val="BodyText"/>
              <w:rPr>
                <w:lang w:val="en-NZ"/>
              </w:rPr>
            </w:pPr>
            <w:r w:rsidRPr="00DE674E">
              <w:t>Release 1</w:t>
            </w:r>
          </w:p>
        </w:tc>
        <w:tc>
          <w:tcPr>
            <w:tcW w:w="7944" w:type="dxa"/>
            <w:tcBorders>
              <w:top w:val="nil"/>
              <w:left w:val="nil"/>
              <w:bottom w:val="nil"/>
              <w:right w:val="nil"/>
            </w:tcBorders>
            <w:tcMar>
              <w:top w:w="0" w:type="dxa"/>
              <w:left w:w="62" w:type="dxa"/>
              <w:bottom w:w="0" w:type="dxa"/>
              <w:right w:w="62" w:type="dxa"/>
            </w:tcMar>
          </w:tcPr>
          <w:p w:rsidR="00000000" w:rsidRPr="00DE674E" w:rsidP="00DE674E">
            <w:pPr>
              <w:pStyle w:val="BodyText"/>
            </w:pPr>
            <w:r w:rsidRPr="00DE674E">
              <w:t>This version first released with CPP Property Services Training Package Release 15.0.</w:t>
            </w:r>
          </w:p>
          <w:p w:rsidR="00000000" w:rsidRPr="00DE674E" w:rsidP="00DE674E">
            <w:pPr>
              <w:pStyle w:val="BodyText"/>
            </w:pPr>
            <w:r w:rsidRPr="00DE674E">
              <w:t xml:space="preserve">Supersedes and is not equivalent to CPPDSM4056 Manage conflicts and disputes in the property industry. Code and title changed, and unit updated to reflect specific strata community management requirements including assisting with preparations for tribunal </w:t>
            </w:r>
            <w:r w:rsidRPr="00DE674E">
              <w:t>hearings. Foundation Skills and Assessment Requirements made explicit. Range of Conditions embedded into Knowledge Evidence.</w:t>
            </w:r>
          </w:p>
        </w:tc>
      </w:tr>
    </w:tbl>
    <w:p w:rsidR="00000000" w:rsidRPr="00DE674E" w:rsidP="00DE674E">
      <w:pPr>
        <w:pStyle w:val="BodyText"/>
      </w:pPr>
    </w:p>
    <w:p w:rsidR="00000000" w:rsidRPr="00DE674E" w:rsidP="00DE674E">
      <w:pPr>
        <w:pStyle w:val="AllowPageBreak"/>
      </w:pPr>
    </w:p>
    <w:p w:rsidR="00000000" w:rsidRPr="00DE674E" w:rsidP="00DE674E">
      <w:pPr>
        <w:pStyle w:val="Heading1"/>
      </w:pPr>
      <w:bookmarkStart w:id="2" w:name="O_1197066"/>
      <w:bookmarkEnd w:id="2"/>
      <w:r w:rsidRPr="00DE674E">
        <w:t>Application</w:t>
      </w:r>
    </w:p>
    <w:p w:rsidR="00000000" w:rsidRPr="00DE674E" w:rsidP="000D2207">
      <w:pPr>
        <w:pStyle w:val="BodyText"/>
      </w:pPr>
      <w:r w:rsidRPr="00DE674E">
        <w:t>This unit of competency specifies the skills and knowledge required to manage and resolve conflict</w:t>
      </w:r>
      <w:r w:rsidRPr="00DE674E">
        <w:t>s and disputes in strata communities. It includes assessing conflict or dispute situations following regulatory requirements, negotiating resolution and evaluating the response. It also includes assisting in preparations for tribunal hearings.</w:t>
      </w:r>
    </w:p>
    <w:p w:rsidR="00000000" w:rsidRPr="00DE674E" w:rsidP="000D2207">
      <w:pPr>
        <w:pStyle w:val="BodyText"/>
      </w:pPr>
      <w:r w:rsidRPr="00DE674E">
        <w:t>This unit is</w:t>
      </w:r>
      <w:r w:rsidRPr="00DE674E">
        <w:t xml:space="preserve"> suitable for strata community managers who apply a broad range of skills and knowledge to complete routine and non-routine tasks and deal with predictable and sometimes unpredictable problems. Strata community managers may also be known as strata managers</w:t>
      </w:r>
      <w:r w:rsidRPr="00DE674E">
        <w:t>, owners’ corporation managers or body corporate managers depending on the jurisdiction of operation.</w:t>
      </w:r>
    </w:p>
    <w:p w:rsidR="00000000" w:rsidRPr="00DE674E" w:rsidP="000D2207">
      <w:pPr>
        <w:pStyle w:val="BodyText"/>
      </w:pPr>
      <w:r w:rsidRPr="00DE674E">
        <w:t>Licensing, legislative, regulatory or certification requirements apply to strata community management in some states and territories. For further informat</w:t>
      </w:r>
      <w:r w:rsidRPr="00DE674E">
        <w:t>ion, check with the relevant regulatory authority.</w:t>
      </w:r>
    </w:p>
    <w:p w:rsidR="00000000" w:rsidRPr="00DE674E" w:rsidP="00DE674E">
      <w:pPr>
        <w:pStyle w:val="Heading1"/>
      </w:pPr>
      <w:bookmarkStart w:id="3" w:name="O_1197065"/>
      <w:bookmarkEnd w:id="3"/>
      <w:r w:rsidRPr="00DE674E">
        <w:t>Pre-requisite Unit</w:t>
      </w:r>
    </w:p>
    <w:p w:rsidR="00000000" w:rsidRPr="00DE674E" w:rsidP="000D2207">
      <w:pPr>
        <w:pStyle w:val="BodyText"/>
      </w:pPr>
      <w:r w:rsidRPr="00DE674E">
        <w:t>Nil.</w:t>
      </w:r>
    </w:p>
    <w:p w:rsidR="00000000" w:rsidRPr="00DE674E" w:rsidP="00DE674E">
      <w:pPr>
        <w:pStyle w:val="Heading1"/>
      </w:pPr>
      <w:bookmarkStart w:id="4" w:name="O_1197064"/>
      <w:bookmarkEnd w:id="4"/>
      <w:r w:rsidRPr="00DE674E">
        <w:t>Unit Sector</w:t>
      </w:r>
    </w:p>
    <w:p w:rsidR="00000000" w:rsidRPr="00DE674E" w:rsidP="000D2207">
      <w:pPr>
        <w:pStyle w:val="BodyText"/>
      </w:pPr>
      <w:r w:rsidRPr="00DE674E">
        <w:t>Strata Community Management.</w:t>
      </w:r>
    </w:p>
    <w:p w:rsidR="00000000" w:rsidRPr="00DE674E" w:rsidP="00DE674E">
      <w:pPr>
        <w:pStyle w:val="Heading1"/>
      </w:pPr>
      <w:bookmarkStart w:id="5" w:name="O_1197063"/>
      <w:bookmarkEnd w:id="5"/>
      <w:r w:rsidRPr="00DE674E">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DE674E">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DE674E">
            <w:pPr>
              <w:pStyle w:val="BodyText"/>
              <w:rPr>
                <w:lang w:val="en-NZ"/>
              </w:rPr>
            </w:pPr>
            <w:r w:rsidRPr="00DE674E">
              <w:t xml:space="preserve">Elements describe the </w:t>
            </w:r>
            <w:r w:rsidRPr="00DE674E">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DE674E">
            <w:pPr>
              <w:pStyle w:val="BodyText"/>
              <w:rPr>
                <w:lang w:val="en-NZ"/>
              </w:rPr>
            </w:pPr>
            <w:r w:rsidRPr="00DE674E">
              <w:t xml:space="preserve">Performance criteria describe what needs to be done to </w:t>
            </w:r>
            <w:r w:rsidRPr="00DE674E">
              <w:t>demonstrate achievement of the element.</w:t>
            </w:r>
          </w:p>
        </w:tc>
      </w:tr>
      <w:tr w:rsidTr="00DE674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E674E">
            <w:pPr>
              <w:pStyle w:val="BodyText"/>
              <w:rPr>
                <w:lang w:val="en-NZ"/>
              </w:rPr>
            </w:pPr>
            <w:r w:rsidRPr="00DE674E">
              <w:t>1</w:t>
            </w:r>
          </w:p>
        </w:tc>
        <w:tc>
          <w:tcPr>
            <w:tcW w:w="2357" w:type="dxa"/>
            <w:vMerge w:val="restart"/>
            <w:tcBorders>
              <w:top w:val="nil"/>
              <w:left w:val="nil"/>
              <w:bottom w:val="nil"/>
              <w:right w:val="nil"/>
            </w:tcBorders>
            <w:tcMar>
              <w:top w:w="0" w:type="dxa"/>
              <w:left w:w="62" w:type="dxa"/>
              <w:bottom w:w="0" w:type="dxa"/>
              <w:right w:w="62" w:type="dxa"/>
            </w:tcMar>
          </w:tcPr>
          <w:p w:rsidR="00000000" w:rsidP="00DE674E">
            <w:pPr>
              <w:pStyle w:val="BodyText"/>
              <w:rPr>
                <w:lang w:val="en-NZ"/>
              </w:rPr>
            </w:pPr>
            <w:r w:rsidRPr="00DE674E">
              <w:t>Assess conflict or dispute.</w:t>
            </w:r>
          </w:p>
        </w:tc>
        <w:tc>
          <w:tcPr>
            <w:tcW w:w="804" w:type="dxa"/>
            <w:tcBorders>
              <w:top w:val="nil"/>
              <w:left w:val="nil"/>
              <w:bottom w:val="nil"/>
              <w:right w:val="nil"/>
            </w:tcBorders>
            <w:tcMar>
              <w:top w:w="0" w:type="dxa"/>
              <w:left w:w="62" w:type="dxa"/>
              <w:bottom w:w="0" w:type="dxa"/>
              <w:right w:w="62" w:type="dxa"/>
            </w:tcMar>
          </w:tcPr>
          <w:p w:rsidR="00000000" w:rsidP="00DE674E">
            <w:pPr>
              <w:pStyle w:val="BodyText"/>
              <w:rPr>
                <w:lang w:val="en-NZ"/>
              </w:rPr>
            </w:pPr>
            <w:r w:rsidRPr="00DE674E">
              <w:t>1.1</w:t>
            </w:r>
          </w:p>
        </w:tc>
        <w:tc>
          <w:tcPr>
            <w:tcW w:w="5659" w:type="dxa"/>
            <w:tcBorders>
              <w:top w:val="nil"/>
              <w:left w:val="nil"/>
              <w:bottom w:val="nil"/>
              <w:right w:val="nil"/>
            </w:tcBorders>
            <w:tcMar>
              <w:top w:w="0" w:type="dxa"/>
              <w:left w:w="62" w:type="dxa"/>
              <w:bottom w:w="0" w:type="dxa"/>
              <w:right w:w="62" w:type="dxa"/>
            </w:tcMar>
          </w:tcPr>
          <w:p w:rsidR="00000000" w:rsidP="00DE674E">
            <w:pPr>
              <w:pStyle w:val="BodyText"/>
              <w:rPr>
                <w:lang w:val="en-NZ"/>
              </w:rPr>
            </w:pPr>
            <w:r w:rsidRPr="00DE674E">
              <w:t>Consult with relevant persons to identify causes of conflict or dispute and clarify whether the issue is a strata community m</w:t>
            </w:r>
            <w:r w:rsidRPr="00DE674E">
              <w:t>atter.</w:t>
            </w:r>
          </w:p>
        </w:tc>
      </w:tr>
      <w:tr w:rsidTr="00DE674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674E">
            <w:pPr>
              <w:pStyle w:val="BodyText"/>
              <w:rPr>
                <w:lang w:val="en-NZ"/>
              </w:rPr>
            </w:pPr>
            <w:r w:rsidRPr="00DE674E">
              <w:t>1.2</w:t>
            </w:r>
          </w:p>
        </w:tc>
        <w:tc>
          <w:tcPr>
            <w:tcW w:w="5659" w:type="dxa"/>
            <w:tcBorders>
              <w:top w:val="nil"/>
              <w:left w:val="nil"/>
              <w:bottom w:val="nil"/>
              <w:right w:val="nil"/>
            </w:tcBorders>
            <w:tcMar>
              <w:top w:w="0" w:type="dxa"/>
              <w:left w:w="62" w:type="dxa"/>
              <w:bottom w:w="0" w:type="dxa"/>
              <w:right w:w="62" w:type="dxa"/>
            </w:tcMar>
          </w:tcPr>
          <w:p w:rsidR="00000000" w:rsidP="00DE674E">
            <w:pPr>
              <w:pStyle w:val="BodyText"/>
              <w:rPr>
                <w:lang w:val="en-NZ"/>
              </w:rPr>
            </w:pPr>
            <w:r w:rsidRPr="00DE674E">
              <w:t>Use effective communication, observation and active listening skills to elicit and interpret oral and non-verbal information and to ensure an accurate exchange of information.</w:t>
            </w:r>
          </w:p>
        </w:tc>
      </w:tr>
      <w:tr w:rsidTr="00DE674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674E">
            <w:pPr>
              <w:pStyle w:val="BodyText"/>
              <w:rPr>
                <w:lang w:val="en-NZ"/>
              </w:rPr>
            </w:pPr>
            <w:r w:rsidRPr="00DE674E">
              <w:t>1.3</w:t>
            </w:r>
          </w:p>
        </w:tc>
        <w:tc>
          <w:tcPr>
            <w:tcW w:w="5659" w:type="dxa"/>
            <w:tcBorders>
              <w:top w:val="nil"/>
              <w:left w:val="nil"/>
              <w:bottom w:val="nil"/>
              <w:right w:val="nil"/>
            </w:tcBorders>
            <w:tcMar>
              <w:top w:w="0" w:type="dxa"/>
              <w:left w:w="62" w:type="dxa"/>
              <w:bottom w:w="0" w:type="dxa"/>
              <w:right w:w="62" w:type="dxa"/>
            </w:tcMar>
          </w:tcPr>
          <w:p w:rsidR="00000000" w:rsidP="00DE674E">
            <w:pPr>
              <w:pStyle w:val="BodyText"/>
              <w:rPr>
                <w:lang w:val="en-NZ"/>
              </w:rPr>
            </w:pPr>
            <w:r w:rsidRPr="00DE674E">
              <w:t>Identify regulatory requirements for strata community dispute resolution in the jurisdiction of operation.</w:t>
            </w:r>
          </w:p>
        </w:tc>
      </w:tr>
      <w:tr w:rsidTr="00DE674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674E">
            <w:pPr>
              <w:pStyle w:val="BodyText"/>
              <w:rPr>
                <w:lang w:val="en-NZ"/>
              </w:rPr>
            </w:pPr>
            <w:r w:rsidRPr="00DE674E">
              <w:t>1.4</w:t>
            </w:r>
          </w:p>
        </w:tc>
        <w:tc>
          <w:tcPr>
            <w:tcW w:w="5659" w:type="dxa"/>
            <w:tcBorders>
              <w:top w:val="nil"/>
              <w:left w:val="nil"/>
              <w:bottom w:val="nil"/>
              <w:right w:val="nil"/>
            </w:tcBorders>
            <w:tcMar>
              <w:top w:w="0" w:type="dxa"/>
              <w:left w:w="62" w:type="dxa"/>
              <w:bottom w:w="0" w:type="dxa"/>
              <w:right w:w="62" w:type="dxa"/>
            </w:tcMar>
          </w:tcPr>
          <w:p w:rsidR="00000000" w:rsidP="00DE674E">
            <w:pPr>
              <w:pStyle w:val="BodyText"/>
              <w:rPr>
                <w:lang w:val="en-NZ"/>
              </w:rPr>
            </w:pPr>
            <w:r w:rsidRPr="00DE674E">
              <w:t>Evaluate conflict or dispute response options to prevent escalation and select response to ensure compliance with regulatory and workplace req</w:t>
            </w:r>
            <w:r w:rsidRPr="00DE674E">
              <w:t>uirements.</w:t>
            </w:r>
          </w:p>
        </w:tc>
      </w:tr>
      <w:tr w:rsidTr="00DE674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674E">
            <w:pPr>
              <w:pStyle w:val="BodyText"/>
              <w:rPr>
                <w:lang w:val="en-NZ"/>
              </w:rPr>
            </w:pPr>
            <w:r w:rsidRPr="00DE674E">
              <w:t>1.5</w:t>
            </w:r>
          </w:p>
        </w:tc>
        <w:tc>
          <w:tcPr>
            <w:tcW w:w="5659" w:type="dxa"/>
            <w:tcBorders>
              <w:top w:val="nil"/>
              <w:left w:val="nil"/>
              <w:bottom w:val="nil"/>
              <w:right w:val="nil"/>
            </w:tcBorders>
            <w:tcMar>
              <w:top w:w="0" w:type="dxa"/>
              <w:left w:w="62" w:type="dxa"/>
              <w:bottom w:w="0" w:type="dxa"/>
              <w:right w:w="62" w:type="dxa"/>
            </w:tcMar>
          </w:tcPr>
          <w:p w:rsidR="00000000" w:rsidP="00DE674E">
            <w:pPr>
              <w:pStyle w:val="BodyText"/>
              <w:rPr>
                <w:lang w:val="en-NZ"/>
              </w:rPr>
            </w:pPr>
            <w:r w:rsidRPr="00DE674E">
              <w:t>Identify situations requiring specialist advice and seek assistance, as required, to ensure effective dispute resolution in compliance with workplace requirements.</w:t>
            </w:r>
          </w:p>
        </w:tc>
      </w:tr>
      <w:tr w:rsidTr="00DE674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674E">
            <w:pPr>
              <w:pStyle w:val="BodyText"/>
              <w:rPr>
                <w:lang w:val="en-NZ"/>
              </w:rPr>
            </w:pPr>
            <w:r w:rsidRPr="00DE674E">
              <w:t>1.6</w:t>
            </w:r>
          </w:p>
        </w:tc>
        <w:tc>
          <w:tcPr>
            <w:tcW w:w="5659" w:type="dxa"/>
            <w:tcBorders>
              <w:top w:val="nil"/>
              <w:left w:val="nil"/>
              <w:bottom w:val="nil"/>
              <w:right w:val="nil"/>
            </w:tcBorders>
            <w:tcMar>
              <w:top w:w="0" w:type="dxa"/>
              <w:left w:w="62" w:type="dxa"/>
              <w:bottom w:w="0" w:type="dxa"/>
              <w:right w:w="62" w:type="dxa"/>
            </w:tcMar>
          </w:tcPr>
          <w:p w:rsidR="00000000" w:rsidP="00DE674E">
            <w:pPr>
              <w:pStyle w:val="BodyText"/>
              <w:rPr>
                <w:lang w:val="en-NZ"/>
              </w:rPr>
            </w:pPr>
            <w:r w:rsidRPr="00DE674E">
              <w:t>Document assessment findings, including causes of conflict or dispu</w:t>
            </w:r>
            <w:r w:rsidRPr="00DE674E">
              <w:t>te and areas of agreement and disagreement, according to workplace requirements.</w:t>
            </w:r>
          </w:p>
        </w:tc>
      </w:tr>
      <w:tr w:rsidTr="00DE674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E674E">
            <w:pPr>
              <w:pStyle w:val="BodyText"/>
              <w:rPr>
                <w:lang w:val="en-NZ"/>
              </w:rPr>
            </w:pPr>
          </w:p>
        </w:tc>
      </w:tr>
      <w:tr w:rsidTr="00DE674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E674E">
            <w:pPr>
              <w:pStyle w:val="BodyText"/>
              <w:rPr>
                <w:lang w:val="en-NZ"/>
              </w:rPr>
            </w:pPr>
            <w:r w:rsidRPr="00DE674E">
              <w:t>2</w:t>
            </w:r>
          </w:p>
        </w:tc>
        <w:tc>
          <w:tcPr>
            <w:tcW w:w="2357" w:type="dxa"/>
            <w:vMerge w:val="restart"/>
            <w:tcBorders>
              <w:top w:val="nil"/>
              <w:left w:val="nil"/>
              <w:bottom w:val="nil"/>
              <w:right w:val="nil"/>
            </w:tcBorders>
            <w:tcMar>
              <w:top w:w="0" w:type="dxa"/>
              <w:left w:w="62" w:type="dxa"/>
              <w:bottom w:w="0" w:type="dxa"/>
              <w:right w:w="62" w:type="dxa"/>
            </w:tcMar>
          </w:tcPr>
          <w:p w:rsidR="00000000" w:rsidP="00DE674E">
            <w:pPr>
              <w:pStyle w:val="BodyText"/>
              <w:rPr>
                <w:lang w:val="en-NZ"/>
              </w:rPr>
            </w:pPr>
            <w:r w:rsidRPr="00DE674E">
              <w:t>Negotiate to resolve conflict or dispute.</w:t>
            </w:r>
          </w:p>
        </w:tc>
        <w:tc>
          <w:tcPr>
            <w:tcW w:w="804" w:type="dxa"/>
            <w:tcBorders>
              <w:top w:val="nil"/>
              <w:left w:val="nil"/>
              <w:bottom w:val="nil"/>
              <w:right w:val="nil"/>
            </w:tcBorders>
            <w:tcMar>
              <w:top w:w="0" w:type="dxa"/>
              <w:left w:w="62" w:type="dxa"/>
              <w:bottom w:w="0" w:type="dxa"/>
              <w:right w:w="62" w:type="dxa"/>
            </w:tcMar>
          </w:tcPr>
          <w:p w:rsidR="00000000" w:rsidP="00DE674E">
            <w:pPr>
              <w:pStyle w:val="BodyText"/>
              <w:rPr>
                <w:lang w:val="en-NZ"/>
              </w:rPr>
            </w:pPr>
            <w:r w:rsidRPr="00DE674E">
              <w:t>2.1</w:t>
            </w:r>
          </w:p>
        </w:tc>
        <w:tc>
          <w:tcPr>
            <w:tcW w:w="5659" w:type="dxa"/>
            <w:tcBorders>
              <w:top w:val="nil"/>
              <w:left w:val="nil"/>
              <w:bottom w:val="nil"/>
              <w:right w:val="nil"/>
            </w:tcBorders>
            <w:tcMar>
              <w:top w:w="0" w:type="dxa"/>
              <w:left w:w="62" w:type="dxa"/>
              <w:bottom w:w="0" w:type="dxa"/>
              <w:right w:w="62" w:type="dxa"/>
            </w:tcMar>
          </w:tcPr>
          <w:p w:rsidR="00000000" w:rsidP="00DE674E">
            <w:pPr>
              <w:pStyle w:val="BodyText"/>
              <w:rPr>
                <w:lang w:val="en-NZ"/>
              </w:rPr>
            </w:pPr>
            <w:r w:rsidRPr="00DE674E">
              <w:t>Arrange grievance meeting with parties in dispute and use negotiation techniques to assist resolution of strata community conflict or dispute according to regulatory and workplace requirements.</w:t>
            </w:r>
          </w:p>
        </w:tc>
      </w:tr>
      <w:tr w:rsidTr="00DE674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674E">
            <w:pPr>
              <w:pStyle w:val="BodyText"/>
              <w:rPr>
                <w:lang w:val="en-NZ"/>
              </w:rPr>
            </w:pPr>
            <w:r w:rsidRPr="00DE674E">
              <w:t>2.2</w:t>
            </w:r>
          </w:p>
        </w:tc>
        <w:tc>
          <w:tcPr>
            <w:tcW w:w="5659" w:type="dxa"/>
            <w:tcBorders>
              <w:top w:val="nil"/>
              <w:left w:val="nil"/>
              <w:bottom w:val="nil"/>
              <w:right w:val="nil"/>
            </w:tcBorders>
            <w:tcMar>
              <w:top w:w="0" w:type="dxa"/>
              <w:left w:w="62" w:type="dxa"/>
              <w:bottom w:w="0" w:type="dxa"/>
              <w:right w:w="62" w:type="dxa"/>
            </w:tcMar>
          </w:tcPr>
          <w:p w:rsidR="00000000" w:rsidP="00DE674E">
            <w:pPr>
              <w:pStyle w:val="BodyText"/>
              <w:rPr>
                <w:lang w:val="en-NZ"/>
              </w:rPr>
            </w:pPr>
            <w:r w:rsidRPr="00DE674E">
              <w:t xml:space="preserve">Communicate with parties to the conflict or dispute in </w:t>
            </w:r>
            <w:r w:rsidRPr="00DE674E">
              <w:t>a courteous manner that reflects sensitivity to individual, social and cultural differences.</w:t>
            </w:r>
          </w:p>
        </w:tc>
      </w:tr>
      <w:tr w:rsidTr="00DE674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674E">
            <w:pPr>
              <w:pStyle w:val="BodyText"/>
              <w:rPr>
                <w:lang w:val="en-NZ"/>
              </w:rPr>
            </w:pPr>
            <w:r w:rsidRPr="00DE674E">
              <w:t>2.3</w:t>
            </w:r>
          </w:p>
        </w:tc>
        <w:tc>
          <w:tcPr>
            <w:tcW w:w="5659" w:type="dxa"/>
            <w:tcBorders>
              <w:top w:val="nil"/>
              <w:left w:val="nil"/>
              <w:bottom w:val="nil"/>
              <w:right w:val="nil"/>
            </w:tcBorders>
            <w:tcMar>
              <w:top w:w="0" w:type="dxa"/>
              <w:left w:w="62" w:type="dxa"/>
              <w:bottom w:w="0" w:type="dxa"/>
              <w:right w:w="62" w:type="dxa"/>
            </w:tcMar>
          </w:tcPr>
          <w:p w:rsidR="00000000" w:rsidP="00DE674E">
            <w:pPr>
              <w:pStyle w:val="BodyText"/>
              <w:rPr>
                <w:lang w:val="en-NZ"/>
              </w:rPr>
            </w:pPr>
            <w:r w:rsidRPr="00DE674E">
              <w:t>Use negotiation techniques to maintain positive interaction and divert and minimise aggressive behaviour.</w:t>
            </w:r>
          </w:p>
        </w:tc>
      </w:tr>
      <w:tr w:rsidTr="00DE674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674E">
            <w:pPr>
              <w:pStyle w:val="BodyText"/>
              <w:rPr>
                <w:lang w:val="en-NZ"/>
              </w:rPr>
            </w:pPr>
            <w:r w:rsidRPr="00DE674E">
              <w:t>2.4</w:t>
            </w:r>
          </w:p>
        </w:tc>
        <w:tc>
          <w:tcPr>
            <w:tcW w:w="5659" w:type="dxa"/>
            <w:tcBorders>
              <w:top w:val="nil"/>
              <w:left w:val="nil"/>
              <w:bottom w:val="nil"/>
              <w:right w:val="nil"/>
            </w:tcBorders>
            <w:tcMar>
              <w:top w:w="0" w:type="dxa"/>
              <w:left w:w="62" w:type="dxa"/>
              <w:bottom w:w="0" w:type="dxa"/>
              <w:right w:w="62" w:type="dxa"/>
            </w:tcMar>
          </w:tcPr>
          <w:p w:rsidR="00000000" w:rsidP="00DE674E">
            <w:pPr>
              <w:pStyle w:val="BodyText"/>
              <w:rPr>
                <w:lang w:val="en-NZ"/>
              </w:rPr>
            </w:pPr>
            <w:r w:rsidRPr="00DE674E">
              <w:t>Identify and clarify relevant contradictions, ambiguity, uncertainty or misunderstandings.</w:t>
            </w:r>
          </w:p>
        </w:tc>
      </w:tr>
      <w:tr w:rsidTr="00DE674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674E">
            <w:pPr>
              <w:pStyle w:val="BodyText"/>
              <w:rPr>
                <w:lang w:val="en-NZ"/>
              </w:rPr>
            </w:pPr>
            <w:r w:rsidRPr="00DE674E">
              <w:t>2.5</w:t>
            </w:r>
          </w:p>
        </w:tc>
        <w:tc>
          <w:tcPr>
            <w:tcW w:w="5659" w:type="dxa"/>
            <w:tcBorders>
              <w:top w:val="nil"/>
              <w:left w:val="nil"/>
              <w:bottom w:val="nil"/>
              <w:right w:val="nil"/>
            </w:tcBorders>
            <w:tcMar>
              <w:top w:w="0" w:type="dxa"/>
              <w:left w:w="62" w:type="dxa"/>
              <w:bottom w:w="0" w:type="dxa"/>
              <w:right w:w="62" w:type="dxa"/>
            </w:tcMar>
          </w:tcPr>
          <w:p w:rsidR="00000000" w:rsidP="00DE674E">
            <w:pPr>
              <w:pStyle w:val="BodyText"/>
              <w:rPr>
                <w:lang w:val="en-NZ"/>
              </w:rPr>
            </w:pPr>
            <w:r w:rsidRPr="00DE674E">
              <w:t>Identify factors that might impact the safety or security of self, others or property and implement appropriate contingency measures according to regulatory a</w:t>
            </w:r>
            <w:r w:rsidRPr="00DE674E">
              <w:t>nd workplace requirements.</w:t>
            </w:r>
          </w:p>
        </w:tc>
      </w:tr>
      <w:tr w:rsidTr="00DE674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E674E">
            <w:pPr>
              <w:pStyle w:val="BodyText"/>
              <w:rPr>
                <w:lang w:val="en-NZ"/>
              </w:rPr>
            </w:pPr>
          </w:p>
        </w:tc>
      </w:tr>
      <w:tr w:rsidTr="00DE674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E674E">
            <w:pPr>
              <w:pStyle w:val="BodyText"/>
              <w:rPr>
                <w:lang w:val="en-NZ"/>
              </w:rPr>
            </w:pPr>
            <w:r w:rsidRPr="00DE674E">
              <w:t>3</w:t>
            </w:r>
          </w:p>
        </w:tc>
        <w:tc>
          <w:tcPr>
            <w:tcW w:w="2357" w:type="dxa"/>
            <w:vMerge w:val="restart"/>
            <w:tcBorders>
              <w:top w:val="nil"/>
              <w:left w:val="nil"/>
              <w:bottom w:val="nil"/>
              <w:right w:val="nil"/>
            </w:tcBorders>
            <w:tcMar>
              <w:top w:w="0" w:type="dxa"/>
              <w:left w:w="62" w:type="dxa"/>
              <w:bottom w:w="0" w:type="dxa"/>
              <w:right w:w="62" w:type="dxa"/>
            </w:tcMar>
          </w:tcPr>
          <w:p w:rsidR="00000000" w:rsidP="00DE674E">
            <w:pPr>
              <w:pStyle w:val="BodyText"/>
              <w:rPr>
                <w:lang w:val="en-NZ"/>
              </w:rPr>
            </w:pPr>
            <w:r w:rsidRPr="00DE674E">
              <w:t>Document and evaluate conflict or dispute response.</w:t>
            </w:r>
          </w:p>
        </w:tc>
        <w:tc>
          <w:tcPr>
            <w:tcW w:w="804" w:type="dxa"/>
            <w:tcBorders>
              <w:top w:val="nil"/>
              <w:left w:val="nil"/>
              <w:bottom w:val="nil"/>
              <w:right w:val="nil"/>
            </w:tcBorders>
            <w:tcMar>
              <w:top w:w="0" w:type="dxa"/>
              <w:left w:w="62" w:type="dxa"/>
              <w:bottom w:w="0" w:type="dxa"/>
              <w:right w:w="62" w:type="dxa"/>
            </w:tcMar>
          </w:tcPr>
          <w:p w:rsidR="00000000" w:rsidP="00DE674E">
            <w:pPr>
              <w:pStyle w:val="BodyText"/>
              <w:rPr>
                <w:lang w:val="en-NZ"/>
              </w:rPr>
            </w:pPr>
            <w:r w:rsidRPr="00DE674E">
              <w:t>3.1</w:t>
            </w:r>
          </w:p>
        </w:tc>
        <w:tc>
          <w:tcPr>
            <w:tcW w:w="5659" w:type="dxa"/>
            <w:tcBorders>
              <w:top w:val="nil"/>
              <w:left w:val="nil"/>
              <w:bottom w:val="nil"/>
              <w:right w:val="nil"/>
            </w:tcBorders>
            <w:tcMar>
              <w:top w:w="0" w:type="dxa"/>
              <w:left w:w="62" w:type="dxa"/>
              <w:bottom w:w="0" w:type="dxa"/>
              <w:right w:w="62" w:type="dxa"/>
            </w:tcMar>
          </w:tcPr>
          <w:p w:rsidR="00000000" w:rsidP="00DE674E">
            <w:pPr>
              <w:pStyle w:val="BodyText"/>
              <w:rPr>
                <w:lang w:val="en-NZ"/>
              </w:rPr>
            </w:pPr>
            <w:r w:rsidRPr="00DE674E">
              <w:t xml:space="preserve">Document details of conflict or dispute in a concise, logical and factual format suitable for use in tribunal hearings. </w:t>
            </w:r>
          </w:p>
        </w:tc>
      </w:tr>
      <w:tr w:rsidTr="00DE674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674E">
            <w:pPr>
              <w:pStyle w:val="BodyText"/>
              <w:rPr>
                <w:lang w:val="en-NZ"/>
              </w:rPr>
            </w:pPr>
            <w:r w:rsidRPr="00DE674E">
              <w:t>3.2</w:t>
            </w:r>
          </w:p>
        </w:tc>
        <w:tc>
          <w:tcPr>
            <w:tcW w:w="5659" w:type="dxa"/>
            <w:tcBorders>
              <w:top w:val="nil"/>
              <w:left w:val="nil"/>
              <w:bottom w:val="nil"/>
              <w:right w:val="nil"/>
            </w:tcBorders>
            <w:tcMar>
              <w:top w:w="0" w:type="dxa"/>
              <w:left w:w="62" w:type="dxa"/>
              <w:bottom w:w="0" w:type="dxa"/>
              <w:right w:w="62" w:type="dxa"/>
            </w:tcMar>
          </w:tcPr>
          <w:p w:rsidR="00000000" w:rsidP="00DE674E">
            <w:pPr>
              <w:pStyle w:val="BodyText"/>
              <w:rPr>
                <w:lang w:val="en-NZ"/>
              </w:rPr>
            </w:pPr>
            <w:r w:rsidRPr="00DE674E">
              <w:t>Report to the strata community committee details of the conflict or dispute and response procedures implemented according to regulatory and workplace requirements.</w:t>
            </w:r>
          </w:p>
        </w:tc>
      </w:tr>
      <w:tr w:rsidTr="00DE674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674E">
            <w:pPr>
              <w:pStyle w:val="BodyText"/>
              <w:rPr>
                <w:lang w:val="en-NZ"/>
              </w:rPr>
            </w:pPr>
            <w:r w:rsidRPr="00DE674E">
              <w:t>3.3</w:t>
            </w:r>
          </w:p>
        </w:tc>
        <w:tc>
          <w:tcPr>
            <w:tcW w:w="5659" w:type="dxa"/>
            <w:tcBorders>
              <w:top w:val="nil"/>
              <w:left w:val="nil"/>
              <w:bottom w:val="nil"/>
              <w:right w:val="nil"/>
            </w:tcBorders>
            <w:tcMar>
              <w:top w:w="0" w:type="dxa"/>
              <w:left w:w="62" w:type="dxa"/>
              <w:bottom w:w="0" w:type="dxa"/>
              <w:right w:w="62" w:type="dxa"/>
            </w:tcMar>
          </w:tcPr>
          <w:p w:rsidR="00000000" w:rsidP="00DE674E">
            <w:pPr>
              <w:pStyle w:val="BodyText"/>
              <w:rPr>
                <w:lang w:val="en-NZ"/>
              </w:rPr>
            </w:pPr>
            <w:r w:rsidRPr="00DE674E">
              <w:t>Evaluate response to conflict or dispute in consultation with relevant per</w:t>
            </w:r>
            <w:r w:rsidRPr="00DE674E">
              <w:t>sons, providing accurate and concise incident observations.</w:t>
            </w:r>
          </w:p>
        </w:tc>
      </w:tr>
      <w:tr w:rsidTr="00DE674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674E">
            <w:pPr>
              <w:pStyle w:val="BodyText"/>
              <w:rPr>
                <w:lang w:val="en-NZ"/>
              </w:rPr>
            </w:pPr>
            <w:r w:rsidRPr="00DE674E">
              <w:t>3.4</w:t>
            </w:r>
          </w:p>
        </w:tc>
        <w:tc>
          <w:tcPr>
            <w:tcW w:w="5659" w:type="dxa"/>
            <w:tcBorders>
              <w:top w:val="nil"/>
              <w:left w:val="nil"/>
              <w:bottom w:val="nil"/>
              <w:right w:val="nil"/>
            </w:tcBorders>
            <w:tcMar>
              <w:top w:w="0" w:type="dxa"/>
              <w:left w:w="62" w:type="dxa"/>
              <w:bottom w:w="0" w:type="dxa"/>
              <w:right w:w="62" w:type="dxa"/>
            </w:tcMar>
          </w:tcPr>
          <w:p w:rsidR="00000000" w:rsidP="00DE674E">
            <w:pPr>
              <w:pStyle w:val="BodyText"/>
              <w:rPr>
                <w:lang w:val="en-NZ"/>
              </w:rPr>
            </w:pPr>
            <w:r w:rsidRPr="00DE674E">
              <w:t>Securely store all documentation associated with strata community conflict or dispute according to regulatory and workplace requirements.</w:t>
            </w:r>
          </w:p>
        </w:tc>
      </w:tr>
      <w:tr w:rsidTr="00DE674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E674E">
            <w:pPr>
              <w:pStyle w:val="BodyText"/>
              <w:rPr>
                <w:lang w:val="en-NZ"/>
              </w:rPr>
            </w:pPr>
          </w:p>
        </w:tc>
      </w:tr>
      <w:tr w:rsidTr="00DE674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E674E">
            <w:pPr>
              <w:pStyle w:val="BodyText"/>
              <w:rPr>
                <w:lang w:val="en-NZ"/>
              </w:rPr>
            </w:pPr>
            <w:r w:rsidRPr="00DE674E">
              <w:t>4</w:t>
            </w:r>
          </w:p>
        </w:tc>
        <w:tc>
          <w:tcPr>
            <w:tcW w:w="2357" w:type="dxa"/>
            <w:vMerge w:val="restart"/>
            <w:tcBorders>
              <w:top w:val="nil"/>
              <w:left w:val="nil"/>
              <w:bottom w:val="nil"/>
              <w:right w:val="nil"/>
            </w:tcBorders>
            <w:tcMar>
              <w:top w:w="0" w:type="dxa"/>
              <w:left w:w="62" w:type="dxa"/>
              <w:bottom w:w="0" w:type="dxa"/>
              <w:right w:w="62" w:type="dxa"/>
            </w:tcMar>
          </w:tcPr>
          <w:p w:rsidR="00000000" w:rsidP="00DE674E">
            <w:pPr>
              <w:pStyle w:val="BodyText"/>
              <w:rPr>
                <w:lang w:val="en-NZ"/>
              </w:rPr>
            </w:pPr>
            <w:r w:rsidRPr="00DE674E">
              <w:t>Assist preparations for tribunal hearing.</w:t>
            </w:r>
          </w:p>
        </w:tc>
        <w:tc>
          <w:tcPr>
            <w:tcW w:w="804" w:type="dxa"/>
            <w:tcBorders>
              <w:top w:val="nil"/>
              <w:left w:val="nil"/>
              <w:bottom w:val="nil"/>
              <w:right w:val="nil"/>
            </w:tcBorders>
            <w:tcMar>
              <w:top w:w="0" w:type="dxa"/>
              <w:left w:w="62" w:type="dxa"/>
              <w:bottom w:w="0" w:type="dxa"/>
              <w:right w:w="62" w:type="dxa"/>
            </w:tcMar>
          </w:tcPr>
          <w:p w:rsidR="00000000" w:rsidP="00DE674E">
            <w:pPr>
              <w:pStyle w:val="BodyText"/>
              <w:rPr>
                <w:lang w:val="en-NZ"/>
              </w:rPr>
            </w:pPr>
            <w:r w:rsidRPr="00DE674E">
              <w:t>4.1</w:t>
            </w:r>
          </w:p>
        </w:tc>
        <w:tc>
          <w:tcPr>
            <w:tcW w:w="5659" w:type="dxa"/>
            <w:tcBorders>
              <w:top w:val="nil"/>
              <w:left w:val="nil"/>
              <w:bottom w:val="nil"/>
              <w:right w:val="nil"/>
            </w:tcBorders>
            <w:tcMar>
              <w:top w:w="0" w:type="dxa"/>
              <w:left w:w="62" w:type="dxa"/>
              <w:bottom w:w="0" w:type="dxa"/>
              <w:right w:w="62" w:type="dxa"/>
            </w:tcMar>
          </w:tcPr>
          <w:p w:rsidR="00000000" w:rsidP="00DE674E">
            <w:pPr>
              <w:pStyle w:val="BodyText"/>
              <w:rPr>
                <w:lang w:val="en-NZ"/>
              </w:rPr>
            </w:pPr>
            <w:r w:rsidRPr="00DE674E">
              <w:t>Assist preparation of documentation required for application to relevant tribunal in consultation with relevant persons.</w:t>
            </w:r>
          </w:p>
        </w:tc>
      </w:tr>
      <w:tr w:rsidTr="00DE674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674E">
            <w:pPr>
              <w:pStyle w:val="BodyText"/>
              <w:rPr>
                <w:lang w:val="en-NZ"/>
              </w:rPr>
            </w:pPr>
            <w:r w:rsidRPr="00DE674E">
              <w:t>4.2</w:t>
            </w:r>
          </w:p>
        </w:tc>
        <w:tc>
          <w:tcPr>
            <w:tcW w:w="5659" w:type="dxa"/>
            <w:tcBorders>
              <w:top w:val="nil"/>
              <w:left w:val="nil"/>
              <w:bottom w:val="nil"/>
              <w:right w:val="nil"/>
            </w:tcBorders>
            <w:tcMar>
              <w:top w:w="0" w:type="dxa"/>
              <w:left w:w="62" w:type="dxa"/>
              <w:bottom w:w="0" w:type="dxa"/>
              <w:right w:w="62" w:type="dxa"/>
            </w:tcMar>
          </w:tcPr>
          <w:p w:rsidR="00000000" w:rsidP="00DE674E">
            <w:pPr>
              <w:pStyle w:val="BodyText"/>
              <w:rPr>
                <w:lang w:val="en-NZ"/>
              </w:rPr>
            </w:pPr>
            <w:r w:rsidRPr="00DE674E">
              <w:t>Identify situations requiring specialist advice and seek assistance, as required, to prepare for tribunal hearing.</w:t>
            </w:r>
          </w:p>
        </w:tc>
      </w:tr>
      <w:tr w:rsidTr="00DE674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674E">
            <w:pPr>
              <w:pStyle w:val="BodyText"/>
              <w:rPr>
                <w:lang w:val="en-NZ"/>
              </w:rPr>
            </w:pPr>
            <w:r w:rsidRPr="00DE674E">
              <w:t>4.3</w:t>
            </w:r>
          </w:p>
        </w:tc>
        <w:tc>
          <w:tcPr>
            <w:tcW w:w="5659" w:type="dxa"/>
            <w:tcBorders>
              <w:top w:val="nil"/>
              <w:left w:val="nil"/>
              <w:bottom w:val="nil"/>
              <w:right w:val="nil"/>
            </w:tcBorders>
            <w:tcMar>
              <w:top w:w="0" w:type="dxa"/>
              <w:left w:w="62" w:type="dxa"/>
              <w:bottom w:w="0" w:type="dxa"/>
              <w:right w:w="62" w:type="dxa"/>
            </w:tcMar>
          </w:tcPr>
          <w:p w:rsidR="00000000" w:rsidP="00DE674E">
            <w:pPr>
              <w:pStyle w:val="BodyText"/>
              <w:rPr>
                <w:lang w:val="en-NZ"/>
              </w:rPr>
            </w:pPr>
            <w:r w:rsidRPr="00DE674E">
              <w:t>Re</w:t>
            </w:r>
            <w:r w:rsidRPr="00DE674E">
              <w:t>port tribunal hearing information to the strata community committee according to regulatory requirements.</w:t>
            </w:r>
          </w:p>
        </w:tc>
      </w:tr>
      <w:tr w:rsidTr="00DE674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674E">
            <w:pPr>
              <w:pStyle w:val="BodyText"/>
              <w:rPr>
                <w:lang w:val="en-NZ"/>
              </w:rPr>
            </w:pPr>
            <w:r w:rsidRPr="00DE674E">
              <w:t>4.4</w:t>
            </w:r>
          </w:p>
        </w:tc>
        <w:tc>
          <w:tcPr>
            <w:tcW w:w="5659" w:type="dxa"/>
            <w:tcBorders>
              <w:top w:val="nil"/>
              <w:left w:val="nil"/>
              <w:bottom w:val="nil"/>
              <w:right w:val="nil"/>
            </w:tcBorders>
            <w:tcMar>
              <w:top w:w="0" w:type="dxa"/>
              <w:left w:w="62" w:type="dxa"/>
              <w:bottom w:w="0" w:type="dxa"/>
              <w:right w:w="62" w:type="dxa"/>
            </w:tcMar>
          </w:tcPr>
          <w:p w:rsidR="00000000" w:rsidRPr="00DE674E" w:rsidP="00DE674E">
            <w:pPr>
              <w:pStyle w:val="BodyText"/>
            </w:pPr>
            <w:r w:rsidRPr="00DE674E">
              <w:t>Securely store tribunal hearing documentation according to regulatory and workplace requirements.</w:t>
            </w:r>
          </w:p>
        </w:tc>
      </w:tr>
    </w:tbl>
    <w:p w:rsidR="00000000" w:rsidRPr="00DE674E" w:rsidP="00DE674E">
      <w:pPr>
        <w:pStyle w:val="BodyText"/>
      </w:pPr>
    </w:p>
    <w:p w:rsidR="00000000" w:rsidRPr="00DE674E" w:rsidP="00DE674E">
      <w:pPr>
        <w:pStyle w:val="AllowPageBreak"/>
      </w:pPr>
    </w:p>
    <w:p w:rsidR="00000000" w:rsidRPr="00DE674E" w:rsidP="00DE674E">
      <w:pPr>
        <w:pStyle w:val="Heading1"/>
      </w:pPr>
      <w:bookmarkStart w:id="6" w:name="O_1197062"/>
      <w:bookmarkEnd w:id="6"/>
      <w:r w:rsidRPr="00DE674E">
        <w:t>Foundation Skills</w:t>
      </w:r>
    </w:p>
    <w:p w:rsidR="00000000" w:rsidRPr="00DE674E" w:rsidP="000D2207">
      <w:pPr>
        <w:pStyle w:val="BodyText"/>
      </w:pPr>
      <w:r w:rsidRPr="00DE674E">
        <w:t>Foundation skills essential to performance are explicit in the performance criteria of this unit of competency.</w:t>
      </w:r>
    </w:p>
    <w:p w:rsidR="00000000" w:rsidRPr="00DE674E" w:rsidP="00DE674E">
      <w:pPr>
        <w:pStyle w:val="Heading1"/>
      </w:pPr>
      <w:bookmarkStart w:id="7" w:name="O_1197061"/>
      <w:bookmarkEnd w:id="7"/>
      <w:r w:rsidRPr="00DE674E">
        <w:t>Unit Mapping Information</w:t>
      </w:r>
    </w:p>
    <w:p w:rsidR="00000000" w:rsidRPr="00DE674E" w:rsidP="000D2207">
      <w:pPr>
        <w:pStyle w:val="BodyText"/>
      </w:pPr>
      <w:r w:rsidRPr="00DE674E">
        <w:t>Supersedes and is not equivalent to CPPDSM4056 Manage conflicts and disputes in the property industr</w:t>
      </w:r>
      <w:r w:rsidRPr="00DE674E">
        <w:t>y.</w:t>
      </w:r>
    </w:p>
    <w:p w:rsidR="00000000" w:rsidRPr="00DE674E" w:rsidP="00DE674E">
      <w:pPr>
        <w:pStyle w:val="Heading1"/>
      </w:pPr>
      <w:bookmarkStart w:id="8" w:name="O_1197054"/>
      <w:bookmarkEnd w:id="8"/>
      <w:r w:rsidRPr="00DE674E">
        <w:t>Links</w:t>
      </w:r>
    </w:p>
    <w:p w:rsidR="00000000" w:rsidRPr="00DE674E" w:rsidP="000D2207">
      <w:pPr>
        <w:pStyle w:val="BodyText"/>
      </w:pPr>
      <w:r w:rsidRPr="00DE674E">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DB0581">
        <w:rPr>
          <w:rStyle w:val="Hyperlink"/>
        </w:rPr>
        <w:t>https://vetnet.gov.au/Pages/TrainingDocs.aspx?q=6f3f9672-30e8-4835-b348-205dfcf13d9b</w:t>
      </w:r>
      <w:r>
        <w:fldChar w:fldCharType="end"/>
      </w:r>
    </w:p>
    <w:p w:rsidR="00000000" w:rsidRPr="00DE674E" w:rsidP="000D2207">
      <w:pPr>
        <w:pStyle w:val="BodyText"/>
        <w:sectPr w:rsidSect="00DE674E">
          <w:headerReference w:type="default" r:id="rId10"/>
          <w:footerReference w:type="default" r:id="rId11"/>
          <w:pgSz w:w="11908" w:h="16833"/>
          <w:pgMar w:top="1702" w:right="1418" w:bottom="1702" w:left="1418" w:header="992" w:footer="992" w:gutter="0"/>
          <w:cols w:space="720"/>
          <w:noEndnote/>
          <w:docGrid w:linePitch="299"/>
        </w:sectPr>
      </w:pPr>
    </w:p>
    <w:p w:rsidR="00000000" w:rsidRPr="00DE674E" w:rsidP="00DE674E">
      <w:pPr>
        <w:pStyle w:val="SuperHeading"/>
      </w:pPr>
      <w:r w:rsidRPr="00DE674E">
        <w:t>Assessment Requ</w:t>
      </w:r>
      <w:r w:rsidRPr="00DE674E">
        <w:t>irements for CPPSCM4056 Manage conflicts and disputes in strata community management</w:t>
      </w:r>
    </w:p>
    <w:p w:rsidR="00000000" w:rsidRPr="00DE674E" w:rsidP="00DE674E">
      <w:pPr>
        <w:pStyle w:val="Heading1"/>
      </w:pPr>
      <w:bookmarkStart w:id="9" w:name="O_1197056"/>
      <w:bookmarkEnd w:id="9"/>
      <w:r w:rsidRPr="00DE674E">
        <w:t>Modification History</w:t>
      </w:r>
    </w:p>
    <w:tbl>
      <w:tblPr>
        <w:tblW w:w="0" w:type="auto"/>
        <w:tblLayout w:type="fixed"/>
        <w:tblCellMar>
          <w:left w:w="62" w:type="dxa"/>
          <w:right w:w="62" w:type="dxa"/>
        </w:tblCellMar>
        <w:tblLook w:val="0000"/>
      </w:tblPr>
      <w:tblGrid>
        <w:gridCol w:w="1066"/>
        <w:gridCol w:w="7944"/>
      </w:tblGrid>
      <w:tr w:rsidTr="00DE674E">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DE674E">
            <w:pPr>
              <w:pStyle w:val="BodyText"/>
              <w:rPr>
                <w:lang w:val="en-NZ"/>
              </w:rPr>
            </w:pPr>
            <w:r w:rsidRPr="00DE674E">
              <w:t>Release 1</w:t>
            </w:r>
          </w:p>
        </w:tc>
        <w:tc>
          <w:tcPr>
            <w:tcW w:w="7944" w:type="dxa"/>
            <w:tcBorders>
              <w:top w:val="nil"/>
              <w:left w:val="nil"/>
              <w:bottom w:val="nil"/>
              <w:right w:val="nil"/>
            </w:tcBorders>
            <w:tcMar>
              <w:top w:w="0" w:type="dxa"/>
              <w:left w:w="62" w:type="dxa"/>
              <w:bottom w:w="0" w:type="dxa"/>
              <w:right w:w="62" w:type="dxa"/>
            </w:tcMar>
          </w:tcPr>
          <w:p w:rsidR="00000000" w:rsidRPr="00DE674E" w:rsidP="00DE674E">
            <w:pPr>
              <w:pStyle w:val="BodyText"/>
            </w:pPr>
            <w:r w:rsidRPr="00DE674E">
              <w:t>This version first released with CPP Property Services Training Package Release 15.0.</w:t>
            </w:r>
          </w:p>
          <w:p w:rsidR="00000000" w:rsidRPr="00DE674E" w:rsidP="00DE674E">
            <w:pPr>
              <w:pStyle w:val="BodyText"/>
            </w:pPr>
            <w:r w:rsidRPr="00DE674E">
              <w:t xml:space="preserve">Supersedes and is not equivalent to CPPDSM4056 Manage conflicts and disputes in the property industry. Code and title changed, and unit updated to reflect specific strata community management requirements including assisting with preparations for tribunal </w:t>
            </w:r>
            <w:r w:rsidRPr="00DE674E">
              <w:t>hearings. Foundation Skills and Assessment Requirements made explicit. Range of Conditions embedded into Knowledge Evidence.</w:t>
            </w:r>
          </w:p>
        </w:tc>
      </w:tr>
    </w:tbl>
    <w:p w:rsidR="00000000" w:rsidRPr="00DE674E" w:rsidP="00DE674E">
      <w:pPr>
        <w:pStyle w:val="BodyText"/>
      </w:pPr>
    </w:p>
    <w:p w:rsidR="00000000" w:rsidRPr="00DE674E" w:rsidP="00DE674E">
      <w:pPr>
        <w:pStyle w:val="AllowPageBreak"/>
      </w:pPr>
    </w:p>
    <w:p w:rsidR="00000000" w:rsidRPr="00DE674E" w:rsidP="00DE674E">
      <w:pPr>
        <w:pStyle w:val="Heading1"/>
      </w:pPr>
      <w:bookmarkStart w:id="10" w:name="O_1197059"/>
      <w:bookmarkEnd w:id="10"/>
      <w:r w:rsidRPr="00DE674E">
        <w:t>Performance Evidence</w:t>
      </w:r>
    </w:p>
    <w:p w:rsidR="00000000" w:rsidRPr="00DE674E" w:rsidP="000D2207">
      <w:pPr>
        <w:pStyle w:val="BodyText"/>
      </w:pPr>
      <w:r w:rsidRPr="00DE674E">
        <w:t>To demonstrate competency, a candidate must meet the elements and performance criteria of</w:t>
      </w:r>
      <w:r w:rsidRPr="00DE674E">
        <w:t xml:space="preserve"> this unit to:</w:t>
      </w:r>
    </w:p>
    <w:p w:rsidR="00000000" w:rsidRPr="00DE674E" w:rsidP="00DE674E">
      <w:pPr>
        <w:pStyle w:val="ListBullet"/>
      </w:pPr>
      <w:r w:rsidRPr="00DE674E">
        <w:t>manage two of the following different conflicts or disputes in a strata community management context, one of which must involve receipt of a formal written complaint:</w:t>
      </w:r>
    </w:p>
    <w:p w:rsidR="00000000" w:rsidRPr="00DE674E" w:rsidP="00DE674E">
      <w:pPr>
        <w:pStyle w:val="ListBullet2"/>
      </w:pPr>
      <w:r w:rsidRPr="00DE674E">
        <w:t>a person under the influence of intoxicating substances</w:t>
      </w:r>
    </w:p>
    <w:p w:rsidR="00000000" w:rsidRPr="00DE674E" w:rsidP="00DE674E">
      <w:pPr>
        <w:pStyle w:val="ListBullet2"/>
      </w:pPr>
      <w:r w:rsidRPr="00DE674E">
        <w:t>a person with criminal intent</w:t>
      </w:r>
    </w:p>
    <w:p w:rsidR="00000000" w:rsidRPr="00DE674E" w:rsidP="00DE674E">
      <w:pPr>
        <w:pStyle w:val="ListBullet2"/>
      </w:pPr>
      <w:r w:rsidRPr="00DE674E">
        <w:t>breakdown of communication</w:t>
      </w:r>
    </w:p>
    <w:p w:rsidR="00000000" w:rsidRPr="00DE674E" w:rsidP="00DE674E">
      <w:pPr>
        <w:pStyle w:val="ListBullet2"/>
      </w:pPr>
      <w:r w:rsidRPr="00DE674E">
        <w:t>change of economic and commercial circumstances</w:t>
      </w:r>
    </w:p>
    <w:p w:rsidR="00000000" w:rsidRPr="00DE674E" w:rsidP="00DE674E">
      <w:pPr>
        <w:pStyle w:val="ListBullet2"/>
      </w:pPr>
      <w:r w:rsidRPr="00DE674E">
        <w:t>differing legal concepts and changes in law</w:t>
      </w:r>
    </w:p>
    <w:p w:rsidR="00000000" w:rsidRPr="00DE674E" w:rsidP="00DE674E">
      <w:pPr>
        <w:pStyle w:val="ListBullet2"/>
      </w:pPr>
      <w:r w:rsidRPr="00DE674E">
        <w:t>differing views of underlying facts</w:t>
      </w:r>
    </w:p>
    <w:p w:rsidR="00000000" w:rsidRPr="00DE674E" w:rsidP="00DE674E">
      <w:pPr>
        <w:pStyle w:val="ListBullet2"/>
      </w:pPr>
      <w:r w:rsidRPr="00DE674E">
        <w:t>impact of third parties and force majeure</w:t>
      </w:r>
    </w:p>
    <w:p w:rsidR="00000000" w:rsidRPr="00DE674E" w:rsidP="00DE674E">
      <w:pPr>
        <w:pStyle w:val="ListBullet2"/>
      </w:pPr>
      <w:r w:rsidRPr="00DE674E">
        <w:t>refusal to comply with strata</w:t>
      </w:r>
      <w:r w:rsidRPr="00DE674E">
        <w:t xml:space="preserve"> community committee decisions</w:t>
      </w:r>
    </w:p>
    <w:p w:rsidR="00000000" w:rsidRPr="00DE674E" w:rsidP="00DE674E">
      <w:pPr>
        <w:pStyle w:val="ListBullet2"/>
      </w:pPr>
      <w:r w:rsidRPr="00DE674E">
        <w:t>refusal to pay for levies, costs or services</w:t>
      </w:r>
    </w:p>
    <w:p w:rsidR="00000000" w:rsidRPr="00DE674E" w:rsidP="00DE674E">
      <w:pPr>
        <w:pStyle w:val="ListBullet2"/>
      </w:pPr>
      <w:r w:rsidRPr="00DE674E">
        <w:t>situation affecting the safety and security of self, others or property</w:t>
      </w:r>
    </w:p>
    <w:p w:rsidR="00000000" w:rsidRPr="00DE674E" w:rsidP="00DE674E">
      <w:pPr>
        <w:pStyle w:val="ListBullet2"/>
      </w:pPr>
      <w:r w:rsidRPr="00DE674E">
        <w:t>smoking or smoke drift</w:t>
      </w:r>
    </w:p>
    <w:p w:rsidR="00000000" w:rsidRPr="00DE674E" w:rsidP="00DE674E">
      <w:pPr>
        <w:pStyle w:val="ListBullet2"/>
      </w:pPr>
      <w:r w:rsidRPr="00DE674E">
        <w:t>use of common property parking</w:t>
      </w:r>
    </w:p>
    <w:p w:rsidR="000D2207" w:rsidP="00DE674E">
      <w:pPr>
        <w:pStyle w:val="ListBullet"/>
      </w:pPr>
      <w:r w:rsidRPr="00DE674E">
        <w:t>assist in the preparation and collation of informatio</w:t>
      </w:r>
      <w:r w:rsidRPr="00DE674E">
        <w:t>n for one tribunal hearing related to a strata community conflict or dispute.</w:t>
      </w:r>
    </w:p>
    <w:p w:rsidR="000D2207" w:rsidP="00DE674E">
      <w:pPr>
        <w:pStyle w:val="ListBullet"/>
      </w:pPr>
    </w:p>
    <w:p w:rsidR="00000000" w:rsidRPr="00DE674E" w:rsidP="00DE674E">
      <w:pPr>
        <w:pStyle w:val="Heading1"/>
      </w:pPr>
      <w:bookmarkStart w:id="11" w:name="O_1197058"/>
      <w:bookmarkEnd w:id="11"/>
      <w:r w:rsidRPr="00DE674E">
        <w:t>Knowledge Evidence</w:t>
      </w:r>
    </w:p>
    <w:p w:rsidR="00000000" w:rsidRPr="00DE674E" w:rsidP="000D2207">
      <w:pPr>
        <w:pStyle w:val="BodyText"/>
      </w:pPr>
      <w:r w:rsidRPr="00DE674E">
        <w:t>To be competent in this unit, a candidate must demonstrate knowledge of:</w:t>
      </w:r>
    </w:p>
    <w:p w:rsidR="00000000" w:rsidRPr="00DE674E" w:rsidP="00DE674E">
      <w:pPr>
        <w:pStyle w:val="ListBullet"/>
      </w:pPr>
      <w:r w:rsidRPr="00DE674E">
        <w:t>compliance requirements of legislation and regulations relevant to managing conflicts and disputes in strata community management in the jurisdiction of operation:</w:t>
      </w:r>
    </w:p>
    <w:p w:rsidR="00000000" w:rsidRPr="00DE674E" w:rsidP="00DE674E">
      <w:pPr>
        <w:pStyle w:val="ListBullet2"/>
      </w:pPr>
      <w:r w:rsidRPr="00DE674E">
        <w:t>civil liability</w:t>
      </w:r>
    </w:p>
    <w:p w:rsidR="00000000" w:rsidRPr="00DE674E" w:rsidP="00DE674E">
      <w:pPr>
        <w:pStyle w:val="ListBullet2"/>
      </w:pPr>
      <w:r w:rsidRPr="00DE674E">
        <w:t>equal opportunity, anti-discrimination and disability discrimination</w:t>
      </w:r>
    </w:p>
    <w:p w:rsidR="00000000" w:rsidRPr="00DE674E" w:rsidP="00DE674E">
      <w:pPr>
        <w:pStyle w:val="ListBullet2"/>
      </w:pPr>
      <w:r w:rsidRPr="00DE674E">
        <w:t>fair t</w:t>
      </w:r>
      <w:r w:rsidRPr="00DE674E">
        <w:t>rading and consumer protection</w:t>
      </w:r>
    </w:p>
    <w:p w:rsidR="00000000" w:rsidRPr="00DE674E" w:rsidP="00DE674E">
      <w:pPr>
        <w:pStyle w:val="ListBullet2"/>
      </w:pPr>
      <w:r w:rsidRPr="00DE674E">
        <w:t>privacy</w:t>
      </w:r>
    </w:p>
    <w:p w:rsidR="00000000" w:rsidRPr="00DE674E" w:rsidP="00DE674E">
      <w:pPr>
        <w:pStyle w:val="ListBullet2"/>
      </w:pPr>
      <w:r w:rsidRPr="00DE674E">
        <w:t>records management</w:t>
      </w:r>
    </w:p>
    <w:p w:rsidR="00000000" w:rsidRPr="00DE674E" w:rsidP="00DE674E">
      <w:pPr>
        <w:pStyle w:val="ListBullet2"/>
      </w:pPr>
      <w:r w:rsidRPr="00DE674E">
        <w:t>work health and safety (WHS)</w:t>
      </w:r>
    </w:p>
    <w:p w:rsidR="00000000" w:rsidRPr="00DE674E" w:rsidP="00DE674E">
      <w:pPr>
        <w:pStyle w:val="ListBullet"/>
      </w:pPr>
      <w:r w:rsidRPr="00DE674E">
        <w:t>conflict or dispute-resolution techniques and procedures and dispute-resolution requirements of strata community agreements</w:t>
      </w:r>
    </w:p>
    <w:p w:rsidR="00000000" w:rsidRPr="00DE674E" w:rsidP="00DE674E">
      <w:pPr>
        <w:pStyle w:val="ListBullet"/>
      </w:pPr>
      <w:r w:rsidRPr="00DE674E">
        <w:t>contingency measures that can be used to ens</w:t>
      </w:r>
      <w:r w:rsidRPr="00DE674E">
        <w:t>ure the safety and security of self, others and property when managing conflicts or disputes:</w:t>
      </w:r>
    </w:p>
    <w:p w:rsidR="00000000" w:rsidRPr="00DE674E" w:rsidP="00DE674E">
      <w:pPr>
        <w:pStyle w:val="ListBullet2"/>
      </w:pPr>
      <w:r w:rsidRPr="00DE674E">
        <w:t>arbitration</w:t>
      </w:r>
    </w:p>
    <w:p w:rsidR="00000000" w:rsidRPr="00DE674E" w:rsidP="00DE674E">
      <w:pPr>
        <w:pStyle w:val="ListBullet2"/>
      </w:pPr>
      <w:r w:rsidRPr="00DE674E">
        <w:t>counselling</w:t>
      </w:r>
    </w:p>
    <w:p w:rsidR="00000000" w:rsidRPr="00DE674E" w:rsidP="00DE674E">
      <w:pPr>
        <w:pStyle w:val="ListBullet2"/>
      </w:pPr>
      <w:r w:rsidRPr="00DE674E">
        <w:t>cultural support</w:t>
      </w:r>
    </w:p>
    <w:p w:rsidR="00000000" w:rsidRPr="00DE674E" w:rsidP="00DE674E">
      <w:pPr>
        <w:pStyle w:val="ListBullet2"/>
      </w:pPr>
      <w:r w:rsidRPr="00DE674E">
        <w:t>defusing strategies</w:t>
      </w:r>
    </w:p>
    <w:p w:rsidR="00000000" w:rsidRPr="00DE674E" w:rsidP="00DE674E">
      <w:pPr>
        <w:pStyle w:val="ListBullet2"/>
      </w:pPr>
      <w:r w:rsidRPr="00DE674E">
        <w:t>intervention</w:t>
      </w:r>
    </w:p>
    <w:p w:rsidR="00000000" w:rsidRPr="00DE674E" w:rsidP="00DE674E">
      <w:pPr>
        <w:pStyle w:val="ListBullet2"/>
      </w:pPr>
      <w:r w:rsidRPr="00DE674E">
        <w:t>legal action</w:t>
      </w:r>
    </w:p>
    <w:p w:rsidR="00000000" w:rsidRPr="00DE674E" w:rsidP="00DE674E">
      <w:pPr>
        <w:pStyle w:val="ListBullet2"/>
      </w:pPr>
      <w:r w:rsidRPr="00DE674E">
        <w:t>mediation</w:t>
      </w:r>
    </w:p>
    <w:p w:rsidR="00000000" w:rsidRPr="00DE674E" w:rsidP="00DE674E">
      <w:pPr>
        <w:pStyle w:val="ListBullet2"/>
      </w:pPr>
      <w:r w:rsidRPr="00DE674E">
        <w:t>security</w:t>
      </w:r>
    </w:p>
    <w:p w:rsidR="00000000" w:rsidRPr="00DE674E" w:rsidP="00DE674E">
      <w:pPr>
        <w:pStyle w:val="ListBullet2"/>
      </w:pPr>
      <w:r w:rsidRPr="00DE674E">
        <w:t>selecting alternative actions that may require use of force, within legally permissible limits</w:t>
      </w:r>
    </w:p>
    <w:p w:rsidR="00000000" w:rsidRPr="00DE674E" w:rsidP="00DE674E">
      <w:pPr>
        <w:pStyle w:val="ListBullet2"/>
      </w:pPr>
      <w:r w:rsidRPr="00DE674E">
        <w:t>specialists and experts</w:t>
      </w:r>
    </w:p>
    <w:p w:rsidR="00000000" w:rsidRPr="00DE674E" w:rsidP="00DE674E">
      <w:pPr>
        <w:pStyle w:val="ListBullet"/>
      </w:pPr>
      <w:r w:rsidRPr="00DE674E">
        <w:t>interpersonal communication strategies and techniques used to effectively relate to people from a range of social, cultural and ethnic b</w:t>
      </w:r>
      <w:r w:rsidRPr="00DE674E">
        <w:t>ackgrounds and with a range of physical and cognitive abilities:</w:t>
      </w:r>
    </w:p>
    <w:p w:rsidR="00000000" w:rsidRPr="00DE674E" w:rsidP="00DE674E">
      <w:pPr>
        <w:pStyle w:val="ListBullet2"/>
      </w:pPr>
      <w:r w:rsidRPr="00DE674E">
        <w:t>active listening</w:t>
      </w:r>
    </w:p>
    <w:p w:rsidR="00000000" w:rsidRPr="00DE674E" w:rsidP="00DE674E">
      <w:pPr>
        <w:pStyle w:val="ListBullet2"/>
      </w:pPr>
      <w:r w:rsidRPr="00DE674E">
        <w:t>clear and simple writing</w:t>
      </w:r>
    </w:p>
    <w:p w:rsidR="00000000" w:rsidRPr="00DE674E" w:rsidP="00DE674E">
      <w:pPr>
        <w:pStyle w:val="ListBullet2"/>
      </w:pPr>
      <w:r w:rsidRPr="00DE674E">
        <w:t>giving full attention</w:t>
      </w:r>
    </w:p>
    <w:p w:rsidR="00000000" w:rsidRPr="00DE674E" w:rsidP="00DE674E">
      <w:pPr>
        <w:pStyle w:val="ListBullet2"/>
      </w:pPr>
      <w:r w:rsidRPr="00DE674E">
        <w:t>maintaining eye contact</w:t>
      </w:r>
    </w:p>
    <w:p w:rsidR="00000000" w:rsidRPr="00DE674E" w:rsidP="00DE674E">
      <w:pPr>
        <w:pStyle w:val="ListBullet2"/>
      </w:pPr>
      <w:r w:rsidRPr="00DE674E">
        <w:t>non-verbal communication, including body language and personal presentation</w:t>
      </w:r>
    </w:p>
    <w:p w:rsidR="00000000" w:rsidRPr="00DE674E" w:rsidP="00DE674E">
      <w:pPr>
        <w:pStyle w:val="ListBullet2"/>
      </w:pPr>
      <w:r w:rsidRPr="00DE674E">
        <w:t>speaking clearly and concisely</w:t>
      </w:r>
    </w:p>
    <w:p w:rsidR="00000000" w:rsidRPr="00DE674E" w:rsidP="00DE674E">
      <w:pPr>
        <w:pStyle w:val="ListBullet2"/>
      </w:pPr>
      <w:r w:rsidRPr="00DE674E">
        <w:t>using appropriate language and tone of voice</w:t>
      </w:r>
    </w:p>
    <w:p w:rsidR="00000000" w:rsidRPr="00DE674E" w:rsidP="00DE674E">
      <w:pPr>
        <w:pStyle w:val="ListBullet2"/>
      </w:pPr>
      <w:r w:rsidRPr="00DE674E">
        <w:t>using open and closed questions</w:t>
      </w:r>
    </w:p>
    <w:p w:rsidR="00000000" w:rsidRPr="00DE674E" w:rsidP="00DE674E">
      <w:pPr>
        <w:pStyle w:val="ListBullet"/>
      </w:pPr>
      <w:r w:rsidRPr="00DE674E">
        <w:t>limitations of own work role, responsibilities and abilities</w:t>
      </w:r>
    </w:p>
    <w:p w:rsidR="00000000" w:rsidRPr="00DE674E" w:rsidP="00DE674E">
      <w:pPr>
        <w:pStyle w:val="ListBullet"/>
      </w:pPr>
      <w:r w:rsidRPr="00DE674E">
        <w:t>negotiation techniques:</w:t>
      </w:r>
    </w:p>
    <w:p w:rsidR="00000000" w:rsidRPr="00DE674E" w:rsidP="00DE674E">
      <w:pPr>
        <w:pStyle w:val="ListBullet2"/>
      </w:pPr>
      <w:r w:rsidRPr="00DE674E">
        <w:t>control of tone of voice and body language</w:t>
      </w:r>
    </w:p>
    <w:p w:rsidR="00000000" w:rsidRPr="00DE674E" w:rsidP="00DE674E">
      <w:pPr>
        <w:pStyle w:val="ListBullet2"/>
      </w:pPr>
      <w:r w:rsidRPr="00DE674E">
        <w:t>demonstrating flex</w:t>
      </w:r>
      <w:r w:rsidRPr="00DE674E">
        <w:t>ibility and willingness to negotiate</w:t>
      </w:r>
    </w:p>
    <w:p w:rsidR="00000000" w:rsidRPr="00DE674E" w:rsidP="00DE674E">
      <w:pPr>
        <w:pStyle w:val="ListBullet2"/>
      </w:pPr>
      <w:r w:rsidRPr="00DE674E">
        <w:t>using positive, confident and cooperative language</w:t>
      </w:r>
    </w:p>
    <w:p w:rsidR="00000000" w:rsidRPr="00DE674E" w:rsidP="00DE674E">
      <w:pPr>
        <w:pStyle w:val="ListBullet2"/>
      </w:pPr>
      <w:r w:rsidRPr="00DE674E">
        <w:t>using clear presentation of options and consequences</w:t>
      </w:r>
    </w:p>
    <w:p w:rsidR="00000000" w:rsidRPr="00DE674E" w:rsidP="00DE674E">
      <w:pPr>
        <w:pStyle w:val="ListBullet2"/>
      </w:pPr>
      <w:r w:rsidRPr="00DE674E">
        <w:t>using language and concepts appropriate to the people involved</w:t>
      </w:r>
    </w:p>
    <w:p w:rsidR="00000000" w:rsidRPr="00DE674E" w:rsidP="00DE674E">
      <w:pPr>
        <w:pStyle w:val="ListBullet2"/>
      </w:pPr>
      <w:r w:rsidRPr="00DE674E">
        <w:t>using strategic questioning and listening to gather information and direct the focus of people involved</w:t>
      </w:r>
    </w:p>
    <w:p w:rsidR="00000000" w:rsidRPr="00DE674E" w:rsidP="00DE674E">
      <w:pPr>
        <w:pStyle w:val="ListBullet2"/>
      </w:pPr>
      <w:r w:rsidRPr="00DE674E">
        <w:t>using summarising of positions and agreements to move understanding</w:t>
      </w:r>
    </w:p>
    <w:p w:rsidR="00000000" w:rsidRPr="00DE674E" w:rsidP="00DE674E">
      <w:pPr>
        <w:pStyle w:val="ListBullet"/>
      </w:pPr>
      <w:r w:rsidRPr="00DE674E">
        <w:t>potential causes of conflicts and disputes in strata community management</w:t>
      </w:r>
    </w:p>
    <w:p w:rsidR="00000000" w:rsidRPr="00DE674E" w:rsidP="00DE674E">
      <w:pPr>
        <w:pStyle w:val="ListBullet"/>
      </w:pPr>
      <w:r w:rsidRPr="00DE674E">
        <w:t xml:space="preserve">tribunal </w:t>
      </w:r>
      <w:r w:rsidRPr="00DE674E">
        <w:t>hearing preparations:</w:t>
      </w:r>
    </w:p>
    <w:p w:rsidR="00000000" w:rsidRPr="00DE674E" w:rsidP="00DE674E">
      <w:pPr>
        <w:pStyle w:val="ListBullet2"/>
      </w:pPr>
      <w:r w:rsidRPr="00DE674E">
        <w:t>instructing legal services</w:t>
      </w:r>
    </w:p>
    <w:p w:rsidR="00000000" w:rsidRPr="00DE674E" w:rsidP="00DE674E">
      <w:pPr>
        <w:pStyle w:val="ListBullet2"/>
      </w:pPr>
      <w:r w:rsidRPr="00DE674E">
        <w:t>preparing for attendance</w:t>
      </w:r>
    </w:p>
    <w:p w:rsidR="00000000" w:rsidRPr="00DE674E" w:rsidP="00DE674E">
      <w:pPr>
        <w:pStyle w:val="ListBullet2"/>
      </w:pPr>
      <w:r w:rsidRPr="00DE674E">
        <w:t>role of tribunals in strata community-related hearings</w:t>
      </w:r>
    </w:p>
    <w:p w:rsidR="00000000" w:rsidRPr="00DE674E" w:rsidP="00DE674E">
      <w:pPr>
        <w:pStyle w:val="ListBullet"/>
      </w:pPr>
      <w:r w:rsidRPr="00DE674E">
        <w:t>workplace requirements for managing conflicts and disputes in strata community management:</w:t>
      </w:r>
    </w:p>
    <w:p w:rsidR="00000000" w:rsidRPr="00DE674E" w:rsidP="00DE674E">
      <w:pPr>
        <w:pStyle w:val="ListBullet2"/>
      </w:pPr>
      <w:r w:rsidRPr="00DE674E">
        <w:t>format and structure used when do</w:t>
      </w:r>
      <w:r w:rsidRPr="00DE674E">
        <w:t>cumenting strata community conflicts and disputes</w:t>
      </w:r>
    </w:p>
    <w:p w:rsidR="00000000" w:rsidRPr="00DE674E" w:rsidP="00DE674E">
      <w:pPr>
        <w:pStyle w:val="ListBullet2"/>
      </w:pPr>
      <w:r w:rsidRPr="00DE674E">
        <w:t>systems for storing information and documentation related to conflicts, disputes and tribunal hearings.</w:t>
      </w:r>
    </w:p>
    <w:p w:rsidR="00000000" w:rsidRPr="00DE674E" w:rsidP="00DE674E">
      <w:pPr>
        <w:pStyle w:val="AllowPageBreak"/>
      </w:pPr>
    </w:p>
    <w:p w:rsidR="00000000" w:rsidRPr="00DE674E" w:rsidP="00DE674E">
      <w:pPr>
        <w:pStyle w:val="Heading1"/>
      </w:pPr>
      <w:bookmarkStart w:id="12" w:name="O_1197057"/>
      <w:bookmarkEnd w:id="12"/>
      <w:r w:rsidRPr="00DE674E">
        <w:t>Assessment Conditions</w:t>
      </w:r>
    </w:p>
    <w:p w:rsidR="00000000" w:rsidRPr="00DE674E" w:rsidP="000D2207">
      <w:pPr>
        <w:pStyle w:val="BodyText"/>
      </w:pPr>
      <w:r w:rsidRPr="00DE674E">
        <w:t xml:space="preserve">Assessors must meet the requirements for assessors contained </w:t>
      </w:r>
      <w:r w:rsidRPr="00DE674E">
        <w:t xml:space="preserve">in the Standards for Registered Training Organisations. </w:t>
      </w:r>
    </w:p>
    <w:p w:rsidR="00000000" w:rsidRPr="00DE674E" w:rsidP="000D2207">
      <w:pPr>
        <w:pStyle w:val="BodyText"/>
      </w:pPr>
      <w:r w:rsidRPr="00DE674E">
        <w:t>Assess</w:t>
      </w:r>
      <w:r w:rsidRPr="00DE674E">
        <w:t>ment must be conducted in the workplace or a simulated workplace using realistic conditions, materials, activities, responsibilities, procedures, safety requirements and environmental considerations.</w:t>
      </w:r>
    </w:p>
    <w:p w:rsidR="00000000" w:rsidRPr="00DE674E" w:rsidP="000D2207">
      <w:pPr>
        <w:pStyle w:val="BodyText"/>
      </w:pPr>
      <w:r w:rsidRPr="00DE674E">
        <w:t>Candidates must have access to documentation, informatio</w:t>
      </w:r>
      <w:r w:rsidRPr="00DE674E">
        <w:t>n and technologies required to achieve the performance criteria and performance evidence.</w:t>
      </w:r>
    </w:p>
    <w:p w:rsidR="00000000" w:rsidRPr="00DE674E" w:rsidP="00DE674E">
      <w:pPr>
        <w:pStyle w:val="Heading1"/>
      </w:pPr>
      <w:bookmarkStart w:id="13" w:name="O_1197055"/>
      <w:bookmarkEnd w:id="13"/>
      <w:r w:rsidRPr="00DE674E">
        <w:t>Links</w:t>
      </w:r>
    </w:p>
    <w:p w:rsidR="00000000" w:rsidRPr="00DE674E" w:rsidP="000D2207">
      <w:pPr>
        <w:pStyle w:val="BodyText"/>
      </w:pPr>
      <w:r w:rsidRPr="00DE674E">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DB0581">
        <w:rPr>
          <w:rStyle w:val="Hyperlink"/>
        </w:rPr>
        <w:t>https://vetnet.gov.au/Pages/TrainingDocs.aspx?q=6f3f9672-30e8-4835-b348-205dfcf13d9b</w:t>
      </w:r>
      <w:r>
        <w:fldChar w:fldCharType="end"/>
      </w:r>
    </w:p>
    <w:p w:rsidR="00000000" w:rsidRPr="00DE674E" w:rsidP="00DE674E"/>
    <w:sectPr w:rsidSect="00DE67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7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74E" w:rsidRPr="000D2207" w:rsidP="000D22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7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207" w:rsidP="00DE67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D2207" w:rsidP="00DE67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0D2207" w:rsidP="00DE67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74E" w:rsidP="00DE674E">
    <w:pPr>
      <w:pStyle w:val="Footer"/>
      <w:framePr w:wrap="around"/>
    </w:pPr>
    <w:r>
      <w:fldChar w:fldCharType="begin"/>
    </w:r>
    <w:r>
      <w:instrText xml:space="preserve"> DOCPROPERTY  Subject  \* MERGEFORMAT </w:instrText>
    </w:r>
    <w:r>
      <w:fldChar w:fldCharType="separate"/>
    </w:r>
    <w:r w:rsidR="000D2207">
      <w:t>Approved</w:t>
    </w:r>
    <w:r w:rsidR="000D2207">
      <w:fldChar w:fldCharType="end"/>
    </w:r>
    <w:r>
      <w:tab/>
      <w:t xml:space="preserve">Page </w:t>
    </w:r>
    <w:r>
      <w:fldChar w:fldCharType="begin"/>
    </w:r>
    <w:r>
      <w:instrText xml:space="preserve"> PAGE  \* Arabic  \* MERGEFORMAT </w:instrText>
    </w:r>
    <w:r>
      <w:fldChar w:fldCharType="separate"/>
    </w:r>
    <w:r w:rsidR="000D220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D2207">
      <w:rPr>
        <w:noProof/>
      </w:rPr>
      <w:t>5</w:t>
    </w:r>
    <w:r>
      <w:rPr>
        <w:noProof/>
      </w:rPr>
      <w:fldChar w:fldCharType="end"/>
    </w:r>
  </w:p>
  <w:p w:rsidR="00DE674E" w:rsidP="00DE674E">
    <w:pPr>
      <w:pStyle w:val="Footer"/>
      <w:framePr w:wrap="around"/>
    </w:pPr>
    <w:r>
      <w:t xml:space="preserve">© Commonwealth of Australia, </w:t>
    </w:r>
    <w:r>
      <w:fldChar w:fldCharType="begin"/>
    </w:r>
    <w:r>
      <w:instrText xml:space="preserve"> DATE  \@ "yyyy"  \* MERGEFORMAT </w:instrText>
    </w:r>
    <w:r>
      <w:fldChar w:fldCharType="separate"/>
    </w:r>
    <w:r w:rsidR="000D2207">
      <w:rPr>
        <w:noProof/>
      </w:rPr>
      <w:t>2025</w:t>
    </w:r>
    <w:r>
      <w:fldChar w:fldCharType="end"/>
    </w:r>
    <w:r>
      <w:tab/>
    </w:r>
    <w:r>
      <w:fldChar w:fldCharType="begin"/>
    </w:r>
    <w:r>
      <w:instrText xml:space="preserve"> DOCPROPERTY  Author  \* MERGEFORMAT </w:instrText>
    </w:r>
    <w:r>
      <w:fldChar w:fldCharType="separate"/>
    </w:r>
    <w:r w:rsidR="000D2207">
      <w:t>BuildSkills Australia</w:t>
    </w:r>
    <w:r w:rsidR="000D2207">
      <w:fldChar w:fldCharType="end"/>
    </w:r>
  </w:p>
  <w:p w:rsidR="00DE674E" w:rsidP="00DE67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7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2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674E" w:rsidRPr="000D2207" w:rsidP="000D22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7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207" w:rsidRPr="002D2AF8" w:rsidP="00DE674E">
    <w:pPr>
      <w:pStyle w:val="Header"/>
      <w:framePr w:wrap="around"/>
    </w:pPr>
    <w:r>
      <w:fldChar w:fldCharType="begin"/>
    </w:r>
    <w:r>
      <w:instrText xml:space="preserve"> TITLE   \* MERGEFORMAT </w:instrText>
    </w:r>
    <w:r>
      <w:fldChar w:fldCharType="separate"/>
    </w:r>
    <w:r>
      <w:t>CPPSCM4056 Manage conflicts and disputes in strata community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D2207" w:rsidP="00DE67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74E" w:rsidRPr="002D2AF8" w:rsidP="00DE674E">
    <w:pPr>
      <w:pStyle w:val="Header"/>
      <w:framePr w:wrap="around"/>
    </w:pPr>
    <w:r>
      <w:fldChar w:fldCharType="begin"/>
    </w:r>
    <w:r>
      <w:instrText xml:space="preserve"> TITLE   \* MERGEFORMAT </w:instrText>
    </w:r>
    <w:r>
      <w:fldChar w:fldCharType="separate"/>
    </w:r>
    <w:r w:rsidR="000D2207">
      <w:t>CPPSCM4056 Manage conflicts and disputes in strata community management</w:t>
    </w:r>
    <w:r w:rsidR="000D2207">
      <w:fldChar w:fldCharType="end"/>
    </w:r>
    <w:r>
      <w:tab/>
      <w:t xml:space="preserve">Date this document was generated: </w:t>
    </w:r>
    <w:r>
      <w:fldChar w:fldCharType="begin"/>
    </w:r>
    <w:r>
      <w:instrText xml:space="preserve"> CREATEDATE  \@ "d MMMM yyyy"  \* MERGEFORMAT </w:instrText>
    </w:r>
    <w:r>
      <w:fldChar w:fldCharType="separate"/>
    </w:r>
    <w:r w:rsidR="000D2207">
      <w:rPr>
        <w:noProof/>
      </w:rPr>
      <w:t>2 March 2025</w:t>
    </w:r>
    <w:r>
      <w:fldChar w:fldCharType="end"/>
    </w:r>
  </w:p>
  <w:p w:rsidR="00DE674E" w:rsidP="00DE67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C04A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1878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1A44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7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674E"/>
    <w:pPr>
      <w:spacing w:before="360" w:after="60"/>
      <w:outlineLvl w:val="0"/>
    </w:pPr>
    <w:rPr>
      <w:sz w:val="32"/>
    </w:rPr>
  </w:style>
  <w:style w:type="paragraph" w:styleId="Heading2">
    <w:name w:val="heading 2"/>
    <w:basedOn w:val="HeadingBase"/>
    <w:next w:val="BodyText"/>
    <w:link w:val="Heading2Char"/>
    <w:qFormat/>
    <w:rsid w:val="00DE674E"/>
    <w:pPr>
      <w:keepLines/>
      <w:spacing w:before="240" w:after="120"/>
      <w:outlineLvl w:val="1"/>
    </w:pPr>
    <w:rPr>
      <w:sz w:val="28"/>
      <w:szCs w:val="40"/>
    </w:rPr>
  </w:style>
  <w:style w:type="paragraph" w:styleId="Heading3">
    <w:name w:val="heading 3"/>
    <w:basedOn w:val="HeadingBase"/>
    <w:next w:val="BodyText"/>
    <w:link w:val="Heading3Char"/>
    <w:qFormat/>
    <w:rsid w:val="00DE674E"/>
    <w:pPr>
      <w:spacing w:before="180" w:after="120"/>
      <w:outlineLvl w:val="2"/>
    </w:pPr>
    <w:rPr>
      <w:spacing w:val="-10"/>
      <w:kern w:val="32"/>
    </w:rPr>
  </w:style>
  <w:style w:type="paragraph" w:styleId="Heading4">
    <w:name w:val="heading 4"/>
    <w:basedOn w:val="HeadingBase"/>
    <w:next w:val="BodyText"/>
    <w:link w:val="Heading4Char"/>
    <w:qFormat/>
    <w:rsid w:val="00DE674E"/>
    <w:pPr>
      <w:spacing w:before="160" w:after="120"/>
      <w:outlineLvl w:val="3"/>
    </w:pPr>
    <w:rPr>
      <w:sz w:val="22"/>
    </w:rPr>
  </w:style>
  <w:style w:type="paragraph" w:styleId="Heading5">
    <w:name w:val="heading 5"/>
    <w:basedOn w:val="HeadingBase"/>
    <w:next w:val="Normal"/>
    <w:link w:val="Heading5Char"/>
    <w:qFormat/>
    <w:rsid w:val="00DE674E"/>
    <w:pPr>
      <w:spacing w:before="80"/>
      <w:outlineLvl w:val="4"/>
    </w:pPr>
    <w:rPr>
      <w:color w:val="918585"/>
      <w:sz w:val="20"/>
    </w:rPr>
  </w:style>
  <w:style w:type="paragraph" w:styleId="Heading6">
    <w:name w:val="heading 6"/>
    <w:basedOn w:val="HeadingBase"/>
    <w:next w:val="Normal"/>
    <w:link w:val="Heading6Char"/>
    <w:qFormat/>
    <w:rsid w:val="00DE674E"/>
    <w:pPr>
      <w:spacing w:before="60"/>
      <w:outlineLvl w:val="5"/>
    </w:pPr>
    <w:rPr>
      <w:color w:val="918585"/>
      <w:sz w:val="20"/>
    </w:rPr>
  </w:style>
  <w:style w:type="paragraph" w:styleId="Heading7">
    <w:name w:val="heading 7"/>
    <w:basedOn w:val="Normal"/>
    <w:next w:val="Normal"/>
    <w:link w:val="Heading7Char"/>
    <w:qFormat/>
    <w:rsid w:val="00DE674E"/>
    <w:pPr>
      <w:ind w:left="720"/>
      <w:outlineLvl w:val="6"/>
    </w:pPr>
    <w:rPr>
      <w:i/>
    </w:rPr>
  </w:style>
  <w:style w:type="paragraph" w:styleId="Heading8">
    <w:name w:val="heading 8"/>
    <w:basedOn w:val="Normal"/>
    <w:next w:val="Normal"/>
    <w:link w:val="Heading8Char"/>
    <w:qFormat/>
    <w:rsid w:val="00DE674E"/>
    <w:pPr>
      <w:ind w:left="720"/>
      <w:outlineLvl w:val="7"/>
    </w:pPr>
    <w:rPr>
      <w:i/>
    </w:rPr>
  </w:style>
  <w:style w:type="paragraph" w:styleId="Heading9">
    <w:name w:val="heading 9"/>
    <w:basedOn w:val="Normal"/>
    <w:next w:val="Normal"/>
    <w:link w:val="Heading9Char"/>
    <w:qFormat/>
    <w:rsid w:val="00DE674E"/>
    <w:pPr>
      <w:ind w:left="720"/>
      <w:outlineLvl w:val="8"/>
    </w:pPr>
    <w:rPr>
      <w:i/>
    </w:rPr>
  </w:style>
  <w:style w:type="character" w:default="1" w:styleId="DefaultParagraphFont">
    <w:name w:val="Default Paragraph Font"/>
    <w:uiPriority w:val="1"/>
    <w:unhideWhenUsed/>
    <w:rsid w:val="00DE67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674E"/>
  </w:style>
  <w:style w:type="character" w:customStyle="1" w:styleId="Heading1Char">
    <w:name w:val="Heading 1 Char"/>
    <w:basedOn w:val="DefaultParagraphFont"/>
    <w:link w:val="Heading1"/>
    <w:rsid w:val="00DE674E"/>
    <w:rPr>
      <w:rFonts w:ascii="Times New Roman" w:eastAsia="Times New Roman" w:hAnsi="Times New Roman" w:cs="Times New Roman"/>
      <w:b/>
      <w:sz w:val="32"/>
      <w:szCs w:val="20"/>
      <w:lang w:eastAsia="en-US"/>
    </w:rPr>
  </w:style>
  <w:style w:type="paragraph" w:styleId="BodyText">
    <w:name w:val="Body Text"/>
    <w:basedOn w:val="Normal"/>
    <w:link w:val="BodyTextChar"/>
    <w:rsid w:val="00DE67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674E"/>
    <w:rPr>
      <w:rFonts w:ascii="Times New Roman" w:eastAsia="Times New Roman" w:hAnsi="Times New Roman" w:cs="Times New Roman"/>
      <w:sz w:val="24"/>
      <w:lang w:eastAsia="en-US"/>
    </w:rPr>
  </w:style>
  <w:style w:type="paragraph" w:styleId="ListBullet">
    <w:name w:val="List Bullet"/>
    <w:basedOn w:val="List"/>
    <w:rsid w:val="00DE674E"/>
    <w:pPr>
      <w:numPr>
        <w:numId w:val="12"/>
      </w:numPr>
      <w:tabs>
        <w:tab w:val="clear" w:pos="340"/>
      </w:tabs>
      <w:spacing w:before="40" w:after="40"/>
    </w:pPr>
  </w:style>
  <w:style w:type="paragraph" w:styleId="ListBullet2">
    <w:name w:val="List Bullet 2"/>
    <w:basedOn w:val="List2"/>
    <w:rsid w:val="00DE674E"/>
    <w:pPr>
      <w:numPr>
        <w:numId w:val="13"/>
      </w:numPr>
      <w:tabs>
        <w:tab w:val="clear" w:pos="680"/>
      </w:tabs>
    </w:pPr>
  </w:style>
  <w:style w:type="paragraph" w:customStyle="1" w:styleId="SuperHeading">
    <w:name w:val="SuperHeading"/>
    <w:basedOn w:val="Normal"/>
    <w:rsid w:val="00DE674E"/>
    <w:pPr>
      <w:spacing w:before="240" w:after="120"/>
      <w:outlineLvl w:val="0"/>
    </w:pPr>
    <w:rPr>
      <w:rFonts w:ascii="Times New Roman" w:hAnsi="Times New Roman"/>
      <w:b/>
      <w:sz w:val="32"/>
    </w:rPr>
  </w:style>
  <w:style w:type="paragraph" w:customStyle="1" w:styleId="AllowPageBreak">
    <w:name w:val="AllowPageBreak"/>
    <w:rsid w:val="00DE67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67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67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67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67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67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67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67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674E"/>
    <w:rPr>
      <w:rFonts w:ascii="Courier New" w:eastAsia="Times New Roman" w:hAnsi="Courier New" w:cs="Times New Roman"/>
      <w:i/>
      <w:szCs w:val="20"/>
      <w:lang w:eastAsia="en-US"/>
    </w:rPr>
  </w:style>
  <w:style w:type="paragraph" w:customStyle="1" w:styleId="HeadingBase">
    <w:name w:val="Heading Base"/>
    <w:rsid w:val="00DE67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674E"/>
    <w:pPr>
      <w:tabs>
        <w:tab w:val="right" w:leader="dot" w:pos="9072"/>
      </w:tabs>
      <w:ind w:left="567"/>
    </w:pPr>
    <w:rPr>
      <w:szCs w:val="22"/>
    </w:rPr>
  </w:style>
  <w:style w:type="paragraph" w:customStyle="1" w:styleId="TOCBase">
    <w:name w:val="TOC Base"/>
    <w:rsid w:val="00DE67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674E"/>
    <w:pPr>
      <w:tabs>
        <w:tab w:val="right" w:leader="dot" w:pos="9072"/>
      </w:tabs>
      <w:spacing w:before="40" w:after="40"/>
      <w:ind w:left="284"/>
    </w:pPr>
    <w:rPr>
      <w:rFonts w:ascii="Times New Roman" w:hAnsi="Times New Roman"/>
    </w:rPr>
  </w:style>
  <w:style w:type="paragraph" w:styleId="TOC1">
    <w:name w:val="toc 1"/>
    <w:basedOn w:val="TOCBase"/>
    <w:next w:val="Normal"/>
    <w:rsid w:val="00DE67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67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674E"/>
    <w:rPr>
      <w:rFonts w:ascii="Times New Roman" w:eastAsia="Times New Roman" w:hAnsi="Times New Roman" w:cs="Times New Roman"/>
      <w:sz w:val="16"/>
      <w:lang w:eastAsia="en-US"/>
    </w:rPr>
  </w:style>
  <w:style w:type="paragraph" w:styleId="Title">
    <w:name w:val="Title"/>
    <w:basedOn w:val="HeadingBase"/>
    <w:link w:val="TitleChar"/>
    <w:qFormat/>
    <w:rsid w:val="00DE674E"/>
    <w:pPr>
      <w:spacing w:before="5040"/>
      <w:jc w:val="center"/>
    </w:pPr>
    <w:rPr>
      <w:sz w:val="48"/>
      <w:szCs w:val="72"/>
      <w:lang w:val="en-US"/>
    </w:rPr>
  </w:style>
  <w:style w:type="character" w:customStyle="1" w:styleId="TitleChar">
    <w:name w:val="Title Char"/>
    <w:basedOn w:val="DefaultParagraphFont"/>
    <w:link w:val="Title"/>
    <w:rsid w:val="00DE67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674E"/>
    <w:pPr>
      <w:tabs>
        <w:tab w:val="left" w:pos="3600"/>
        <w:tab w:val="left" w:pos="3958"/>
      </w:tabs>
    </w:pPr>
  </w:style>
  <w:style w:type="paragraph" w:styleId="List">
    <w:name w:val="List"/>
    <w:basedOn w:val="BodyText"/>
    <w:next w:val="BodyText"/>
    <w:rsid w:val="00DE674E"/>
    <w:pPr>
      <w:tabs>
        <w:tab w:val="left" w:pos="340"/>
      </w:tabs>
      <w:spacing w:before="60" w:after="60"/>
      <w:ind w:left="340" w:hanging="340"/>
    </w:pPr>
  </w:style>
  <w:style w:type="paragraph" w:customStyle="1" w:styleId="Note">
    <w:name w:val="Note"/>
    <w:basedOn w:val="BodyText"/>
    <w:rsid w:val="00DE674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E674E"/>
    <w:rPr>
      <w:b/>
      <w:spacing w:val="0"/>
    </w:rPr>
  </w:style>
  <w:style w:type="paragraph" w:customStyle="1" w:styleId="SuperTitle">
    <w:name w:val="SuperTitle"/>
    <w:basedOn w:val="Title"/>
    <w:rsid w:val="00DE674E"/>
    <w:pPr>
      <w:framePr w:wrap="auto" w:hAnchor="text" w:y="6049"/>
    </w:pPr>
    <w:rPr>
      <w:color w:val="000000"/>
      <w:sz w:val="40"/>
    </w:rPr>
  </w:style>
  <w:style w:type="paragraph" w:customStyle="1" w:styleId="TOCTitle">
    <w:name w:val="TOCTitle"/>
    <w:basedOn w:val="Heading1"/>
    <w:rsid w:val="00DE674E"/>
    <w:pPr>
      <w:spacing w:after="240"/>
      <w:jc w:val="center"/>
      <w:outlineLvl w:val="9"/>
    </w:pPr>
    <w:rPr>
      <w:caps/>
    </w:rPr>
  </w:style>
  <w:style w:type="paragraph" w:customStyle="1" w:styleId="Version">
    <w:name w:val="Version"/>
    <w:rsid w:val="00DE67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674E"/>
    <w:pPr>
      <w:keepNext w:val="0"/>
      <w:tabs>
        <w:tab w:val="right" w:pos="4176"/>
      </w:tabs>
      <w:ind w:left="198" w:hanging="198"/>
    </w:pPr>
    <w:rPr>
      <w:rFonts w:ascii="Garamond" w:hAnsi="Garamond"/>
    </w:rPr>
  </w:style>
  <w:style w:type="paragraph" w:styleId="IndexHeading">
    <w:name w:val="index heading"/>
    <w:basedOn w:val="Normal"/>
    <w:next w:val="Index1"/>
    <w:semiHidden/>
    <w:rsid w:val="00DE674E"/>
    <w:pPr>
      <w:spacing w:before="120" w:after="120"/>
    </w:pPr>
    <w:rPr>
      <w:rFonts w:ascii="Arial" w:hAnsi="Arial"/>
      <w:b/>
      <w:color w:val="918585"/>
      <w:sz w:val="24"/>
    </w:rPr>
  </w:style>
  <w:style w:type="paragraph" w:styleId="Header">
    <w:name w:val="header"/>
    <w:basedOn w:val="Normal"/>
    <w:link w:val="HeaderChar"/>
    <w:rsid w:val="00DE67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674E"/>
    <w:rPr>
      <w:rFonts w:ascii="Times New Roman" w:eastAsia="Times New Roman" w:hAnsi="Times New Roman" w:cs="Times New Roman"/>
      <w:sz w:val="16"/>
      <w:szCs w:val="20"/>
      <w:lang w:val="en-GB" w:eastAsia="en-US"/>
    </w:rPr>
  </w:style>
  <w:style w:type="paragraph" w:customStyle="1" w:styleId="Chapter">
    <w:name w:val="Chapter"/>
    <w:basedOn w:val="Normal"/>
    <w:rsid w:val="00DE674E"/>
    <w:pPr>
      <w:spacing w:before="240"/>
    </w:pPr>
    <w:rPr>
      <w:rFonts w:ascii="Times New Roman" w:hAnsi="Times New Roman"/>
      <w:smallCaps/>
      <w:spacing w:val="80"/>
      <w:sz w:val="28"/>
    </w:rPr>
  </w:style>
  <w:style w:type="paragraph" w:customStyle="1" w:styleId="InChapter">
    <w:name w:val="InChapter"/>
    <w:basedOn w:val="Heading3"/>
    <w:rsid w:val="00DE674E"/>
    <w:pPr>
      <w:spacing w:after="240"/>
      <w:outlineLvl w:val="9"/>
    </w:pPr>
    <w:rPr>
      <w:noProof/>
    </w:rPr>
  </w:style>
  <w:style w:type="paragraph" w:styleId="Index2">
    <w:name w:val="index 2"/>
    <w:basedOn w:val="Normal"/>
    <w:next w:val="Normal"/>
    <w:semiHidden/>
    <w:rsid w:val="00DE674E"/>
    <w:pPr>
      <w:tabs>
        <w:tab w:val="right" w:pos="4176"/>
      </w:tabs>
      <w:ind w:left="568" w:hanging="284"/>
    </w:pPr>
    <w:rPr>
      <w:rFonts w:ascii="Garamond" w:hAnsi="Garamond"/>
    </w:rPr>
  </w:style>
  <w:style w:type="paragraph" w:customStyle="1" w:styleId="Byline">
    <w:name w:val="Byline"/>
    <w:rsid w:val="00DE67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674E"/>
    <w:pPr>
      <w:tabs>
        <w:tab w:val="clear" w:pos="3600"/>
        <w:tab w:val="clear" w:pos="3958"/>
      </w:tabs>
      <w:jc w:val="right"/>
    </w:pPr>
  </w:style>
  <w:style w:type="character" w:styleId="Emphasis">
    <w:name w:val="Emphasis"/>
    <w:basedOn w:val="DefaultParagraphFont"/>
    <w:qFormat/>
    <w:rsid w:val="00DE674E"/>
    <w:rPr>
      <w:i/>
    </w:rPr>
  </w:style>
  <w:style w:type="paragraph" w:styleId="Caption">
    <w:name w:val="caption"/>
    <w:basedOn w:val="BodyText"/>
    <w:next w:val="Normal"/>
    <w:qFormat/>
    <w:rsid w:val="00DE674E"/>
    <w:pPr>
      <w:framePr w:w="2268" w:hSpace="181" w:vSpace="181" w:wrap="around" w:vAnchor="text" w:hAnchor="page" w:x="1135" w:y="285" w:anchorLock="1"/>
    </w:pPr>
    <w:rPr>
      <w:i/>
    </w:rPr>
  </w:style>
  <w:style w:type="paragraph" w:customStyle="1" w:styleId="MiniTOCTitle">
    <w:name w:val="MiniTOCTitle"/>
    <w:basedOn w:val="Heading4"/>
    <w:rsid w:val="00DE674E"/>
    <w:pPr>
      <w:spacing w:before="240"/>
      <w:outlineLvl w:val="9"/>
    </w:pPr>
    <w:rPr>
      <w:noProof/>
      <w:sz w:val="24"/>
    </w:rPr>
  </w:style>
  <w:style w:type="paragraph" w:customStyle="1" w:styleId="MiniTOCItem">
    <w:name w:val="MiniTOCItem"/>
    <w:basedOn w:val="ListBullet"/>
    <w:rsid w:val="00DE674E"/>
    <w:pPr>
      <w:numPr>
        <w:numId w:val="0"/>
      </w:numPr>
      <w:tabs>
        <w:tab w:val="right" w:leader="dot" w:pos="6521"/>
      </w:tabs>
      <w:spacing w:before="0" w:after="0"/>
    </w:pPr>
  </w:style>
  <w:style w:type="paragraph" w:customStyle="1" w:styleId="TOFTitle">
    <w:name w:val="TOFTitle"/>
    <w:basedOn w:val="TOCTitle"/>
    <w:rsid w:val="00DE674E"/>
  </w:style>
  <w:style w:type="paragraph" w:styleId="TableofFigures">
    <w:name w:val="table of figures"/>
    <w:basedOn w:val="Normal"/>
    <w:next w:val="Normal"/>
    <w:semiHidden/>
    <w:rsid w:val="00DE674E"/>
    <w:pPr>
      <w:tabs>
        <w:tab w:val="right" w:leader="dot" w:pos="9072"/>
      </w:tabs>
      <w:ind w:left="970" w:hanging="403"/>
    </w:pPr>
    <w:rPr>
      <w:rFonts w:ascii="Times New Roman" w:hAnsi="Times New Roman"/>
      <w:b/>
    </w:rPr>
  </w:style>
  <w:style w:type="paragraph" w:styleId="ListNumber">
    <w:name w:val="List Number"/>
    <w:basedOn w:val="List"/>
    <w:rsid w:val="00DE674E"/>
    <w:pPr>
      <w:numPr>
        <w:numId w:val="15"/>
      </w:numPr>
      <w:tabs>
        <w:tab w:val="clear" w:pos="340"/>
      </w:tabs>
    </w:pPr>
  </w:style>
  <w:style w:type="character" w:customStyle="1" w:styleId="WingdingSymbols">
    <w:name w:val="Wingding Symbols"/>
    <w:rsid w:val="00DE674E"/>
    <w:rPr>
      <w:rFonts w:ascii="Wingdings" w:hAnsi="Wingdings"/>
    </w:rPr>
  </w:style>
  <w:style w:type="paragraph" w:customStyle="1" w:styleId="TableHeading">
    <w:name w:val="Table Heading"/>
    <w:basedOn w:val="HeadingBase"/>
    <w:rsid w:val="00DE674E"/>
    <w:pPr>
      <w:keepLines/>
      <w:pBdr>
        <w:bottom w:val="single" w:sz="6" w:space="1" w:color="918585"/>
      </w:pBdr>
      <w:spacing w:before="240"/>
    </w:pPr>
  </w:style>
  <w:style w:type="character" w:customStyle="1" w:styleId="HotSpot">
    <w:name w:val="HotSpot"/>
    <w:rsid w:val="00DE674E"/>
    <w:rPr>
      <w:color w:val="0033CC"/>
      <w:u w:val="none"/>
    </w:rPr>
  </w:style>
  <w:style w:type="paragraph" w:customStyle="1" w:styleId="BodyTextRight">
    <w:name w:val="Body Text Right"/>
    <w:basedOn w:val="BodyText"/>
    <w:rsid w:val="00DE674E"/>
    <w:pPr>
      <w:spacing w:before="0" w:after="0"/>
      <w:jc w:val="right"/>
    </w:pPr>
  </w:style>
  <w:style w:type="paragraph" w:styleId="Index3">
    <w:name w:val="index 3"/>
    <w:basedOn w:val="ListNumber2"/>
    <w:next w:val="Normal"/>
    <w:semiHidden/>
    <w:rsid w:val="00DE674E"/>
    <w:pPr>
      <w:numPr>
        <w:numId w:val="0"/>
      </w:numPr>
      <w:tabs>
        <w:tab w:val="right" w:leader="dot" w:pos="4176"/>
      </w:tabs>
    </w:pPr>
  </w:style>
  <w:style w:type="paragraph" w:styleId="ListNumber2">
    <w:name w:val="List Number 2"/>
    <w:basedOn w:val="List2"/>
    <w:rsid w:val="00DE674E"/>
    <w:pPr>
      <w:numPr>
        <w:numId w:val="10"/>
      </w:numPr>
      <w:tabs>
        <w:tab w:val="clear" w:pos="1060"/>
      </w:tabs>
    </w:pPr>
  </w:style>
  <w:style w:type="paragraph" w:customStyle="1" w:styleId="MarginNote">
    <w:name w:val="Margin Note"/>
    <w:basedOn w:val="BodyText"/>
    <w:rsid w:val="00DE67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67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67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674E"/>
    <w:rPr>
      <w:sz w:val="32"/>
    </w:rPr>
  </w:style>
  <w:style w:type="paragraph" w:customStyle="1" w:styleId="HeadingProcedure">
    <w:name w:val="Heading Procedure"/>
    <w:basedOn w:val="HeadingBase"/>
    <w:next w:val="Normal"/>
    <w:rsid w:val="00DE674E"/>
    <w:pPr>
      <w:tabs>
        <w:tab w:val="left" w:pos="0"/>
      </w:tabs>
      <w:spacing w:before="120" w:after="60"/>
    </w:pPr>
    <w:rPr>
      <w:i/>
      <w:color w:val="918585"/>
      <w:sz w:val="22"/>
    </w:rPr>
  </w:style>
  <w:style w:type="paragraph" w:customStyle="1" w:styleId="TableBodyText">
    <w:name w:val="Table Body Text"/>
    <w:basedOn w:val="BodyText"/>
    <w:rsid w:val="00DE674E"/>
    <w:pPr>
      <w:spacing w:before="60" w:after="60"/>
    </w:pPr>
  </w:style>
  <w:style w:type="paragraph" w:styleId="ListContinue">
    <w:name w:val="List Continue"/>
    <w:basedOn w:val="List"/>
    <w:rsid w:val="00DE674E"/>
    <w:pPr>
      <w:ind w:firstLine="0"/>
    </w:pPr>
  </w:style>
  <w:style w:type="paragraph" w:customStyle="1" w:styleId="ListNote">
    <w:name w:val="List Note"/>
    <w:basedOn w:val="List"/>
    <w:rsid w:val="00DE674E"/>
    <w:pPr>
      <w:pBdr>
        <w:top w:val="single" w:sz="6" w:space="2" w:color="918585"/>
        <w:bottom w:val="single" w:sz="6" w:space="2" w:color="918585"/>
      </w:pBdr>
      <w:tabs>
        <w:tab w:val="left" w:pos="1021"/>
      </w:tabs>
      <w:ind w:firstLine="0"/>
    </w:pPr>
  </w:style>
  <w:style w:type="paragraph" w:customStyle="1" w:styleId="Warning">
    <w:name w:val="Warning"/>
    <w:basedOn w:val="BodyText"/>
    <w:rsid w:val="00DE674E"/>
    <w:pPr>
      <w:shd w:val="clear" w:color="auto" w:fill="D9D9D9"/>
      <w:tabs>
        <w:tab w:val="left" w:pos="992"/>
      </w:tabs>
      <w:ind w:left="119" w:right="119"/>
    </w:pPr>
    <w:rPr>
      <w:sz w:val="20"/>
    </w:rPr>
  </w:style>
  <w:style w:type="paragraph" w:customStyle="1" w:styleId="MarginIcons">
    <w:name w:val="Margin Icons"/>
    <w:basedOn w:val="BodyText"/>
    <w:rsid w:val="00DE67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674E"/>
    <w:rPr>
      <w:rFonts w:ascii="Courier New" w:hAnsi="Courier New"/>
    </w:rPr>
  </w:style>
  <w:style w:type="paragraph" w:customStyle="1" w:styleId="NoteBullet">
    <w:name w:val="Note Bullet"/>
    <w:basedOn w:val="Note"/>
    <w:rsid w:val="00DE674E"/>
    <w:pPr>
      <w:tabs>
        <w:tab w:val="clear" w:pos="680"/>
      </w:tabs>
      <w:spacing w:before="60" w:after="60"/>
    </w:pPr>
  </w:style>
  <w:style w:type="paragraph" w:customStyle="1" w:styleId="SubHeading2">
    <w:name w:val="SubHeading2"/>
    <w:basedOn w:val="HeadingBase"/>
    <w:rsid w:val="00DE674E"/>
    <w:pPr>
      <w:spacing w:before="240" w:after="60"/>
    </w:pPr>
    <w:rPr>
      <w:sz w:val="20"/>
    </w:rPr>
  </w:style>
  <w:style w:type="paragraph" w:customStyle="1" w:styleId="SubHeading1">
    <w:name w:val="SubHeading1"/>
    <w:basedOn w:val="HeadingBase"/>
    <w:rsid w:val="00DE674E"/>
    <w:pPr>
      <w:spacing w:before="240" w:after="60"/>
    </w:pPr>
    <w:rPr>
      <w:color w:val="918585"/>
      <w:sz w:val="22"/>
    </w:rPr>
  </w:style>
  <w:style w:type="paragraph" w:customStyle="1" w:styleId="SideHeading">
    <w:name w:val="Side Heading"/>
    <w:basedOn w:val="HeadingBase"/>
    <w:rsid w:val="00DE67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674E"/>
    <w:pPr>
      <w:tabs>
        <w:tab w:val="num" w:pos="360"/>
      </w:tabs>
    </w:pPr>
  </w:style>
  <w:style w:type="paragraph" w:styleId="PlainText">
    <w:name w:val="Plain Text"/>
    <w:basedOn w:val="Normal"/>
    <w:link w:val="PlainTextChar"/>
    <w:rsid w:val="00DE674E"/>
    <w:rPr>
      <w:sz w:val="20"/>
    </w:rPr>
  </w:style>
  <w:style w:type="character" w:customStyle="1" w:styleId="PlainTextChar">
    <w:name w:val="Plain Text Char"/>
    <w:basedOn w:val="DefaultParagraphFont"/>
    <w:link w:val="PlainText"/>
    <w:rsid w:val="00DE674E"/>
    <w:rPr>
      <w:rFonts w:ascii="Courier New" w:eastAsia="Times New Roman" w:hAnsi="Courier New" w:cs="Times New Roman"/>
      <w:sz w:val="20"/>
      <w:szCs w:val="20"/>
      <w:lang w:eastAsia="en-US"/>
    </w:rPr>
  </w:style>
  <w:style w:type="character" w:customStyle="1" w:styleId="MenuOption">
    <w:name w:val="Menu Option"/>
    <w:basedOn w:val="DefaultParagraphFont"/>
    <w:rsid w:val="00DE674E"/>
    <w:rPr>
      <w:b/>
      <w:smallCaps/>
    </w:rPr>
  </w:style>
  <w:style w:type="paragraph" w:customStyle="1" w:styleId="TableListNumber">
    <w:name w:val="Table List Number"/>
    <w:basedOn w:val="ListNumber"/>
    <w:rsid w:val="00DE674E"/>
    <w:pPr>
      <w:numPr>
        <w:numId w:val="0"/>
      </w:numPr>
    </w:pPr>
  </w:style>
  <w:style w:type="paragraph" w:styleId="TOC4">
    <w:name w:val="toc 4"/>
    <w:basedOn w:val="TOCBase"/>
    <w:next w:val="Normal"/>
    <w:semiHidden/>
    <w:rsid w:val="00DE674E"/>
    <w:pPr>
      <w:tabs>
        <w:tab w:val="right" w:leader="dot" w:pos="9071"/>
      </w:tabs>
      <w:ind w:left="1701"/>
    </w:pPr>
  </w:style>
  <w:style w:type="paragraph" w:customStyle="1" w:styleId="ListAlpha">
    <w:name w:val="List Alpha"/>
    <w:basedOn w:val="List"/>
    <w:rsid w:val="00DE674E"/>
    <w:pPr>
      <w:numPr>
        <w:numId w:val="9"/>
      </w:numPr>
    </w:pPr>
  </w:style>
  <w:style w:type="paragraph" w:customStyle="1" w:styleId="ListAlpha2">
    <w:name w:val="List Alpha 2"/>
    <w:basedOn w:val="List2"/>
    <w:rsid w:val="00DE674E"/>
    <w:pPr>
      <w:numPr>
        <w:numId w:val="8"/>
      </w:numPr>
    </w:pPr>
  </w:style>
  <w:style w:type="paragraph" w:styleId="List2">
    <w:name w:val="List 2"/>
    <w:basedOn w:val="BodyText"/>
    <w:rsid w:val="00DE674E"/>
    <w:pPr>
      <w:tabs>
        <w:tab w:val="left" w:pos="680"/>
      </w:tabs>
      <w:spacing w:before="60" w:after="60"/>
      <w:ind w:left="680" w:hanging="340"/>
    </w:pPr>
  </w:style>
  <w:style w:type="paragraph" w:styleId="List3">
    <w:name w:val="List 3"/>
    <w:basedOn w:val="BodyText"/>
    <w:rsid w:val="00DE674E"/>
    <w:pPr>
      <w:tabs>
        <w:tab w:val="left" w:pos="1021"/>
      </w:tabs>
      <w:spacing w:before="60" w:after="60"/>
      <w:ind w:left="1020" w:hanging="340"/>
    </w:pPr>
  </w:style>
  <w:style w:type="paragraph" w:styleId="List4">
    <w:name w:val="List 4"/>
    <w:basedOn w:val="BodyText"/>
    <w:rsid w:val="00DE674E"/>
    <w:pPr>
      <w:tabs>
        <w:tab w:val="left" w:pos="1361"/>
      </w:tabs>
      <w:spacing w:before="60" w:after="60"/>
      <w:ind w:left="1361" w:hanging="340"/>
    </w:pPr>
  </w:style>
  <w:style w:type="paragraph" w:styleId="List5">
    <w:name w:val="List 5"/>
    <w:basedOn w:val="BodyText"/>
    <w:rsid w:val="00DE674E"/>
    <w:pPr>
      <w:tabs>
        <w:tab w:val="left" w:pos="1701"/>
      </w:tabs>
      <w:spacing w:before="60" w:after="60"/>
      <w:ind w:left="1701" w:hanging="340"/>
    </w:pPr>
  </w:style>
  <w:style w:type="paragraph" w:styleId="ListBullet3">
    <w:name w:val="List Bullet 3"/>
    <w:basedOn w:val="List3"/>
    <w:rsid w:val="00DE674E"/>
    <w:pPr>
      <w:numPr>
        <w:numId w:val="14"/>
      </w:numPr>
      <w:tabs>
        <w:tab w:val="clear" w:pos="1021"/>
      </w:tabs>
      <w:ind w:left="1037" w:hanging="357"/>
    </w:pPr>
  </w:style>
  <w:style w:type="paragraph" w:styleId="ListBullet4">
    <w:name w:val="List Bullet 4"/>
    <w:basedOn w:val="List4"/>
    <w:rsid w:val="00DE674E"/>
    <w:pPr>
      <w:numPr>
        <w:numId w:val="3"/>
      </w:numPr>
      <w:tabs>
        <w:tab w:val="clear" w:pos="1361"/>
      </w:tabs>
    </w:pPr>
  </w:style>
  <w:style w:type="paragraph" w:styleId="ListBullet5">
    <w:name w:val="List Bullet 5"/>
    <w:basedOn w:val="List5"/>
    <w:rsid w:val="00DE674E"/>
    <w:pPr>
      <w:numPr>
        <w:numId w:val="4"/>
      </w:numPr>
    </w:pPr>
  </w:style>
  <w:style w:type="paragraph" w:styleId="ListContinue2">
    <w:name w:val="List Continue 2"/>
    <w:basedOn w:val="List2"/>
    <w:rsid w:val="00DE674E"/>
    <w:pPr>
      <w:ind w:firstLine="0"/>
    </w:pPr>
  </w:style>
  <w:style w:type="paragraph" w:styleId="ListContinue3">
    <w:name w:val="List Continue 3"/>
    <w:basedOn w:val="List3"/>
    <w:rsid w:val="00DE674E"/>
    <w:pPr>
      <w:ind w:left="1021" w:firstLine="0"/>
    </w:pPr>
  </w:style>
  <w:style w:type="paragraph" w:styleId="ListContinue4">
    <w:name w:val="List Continue 4"/>
    <w:basedOn w:val="List4"/>
    <w:rsid w:val="00DE674E"/>
    <w:pPr>
      <w:ind w:firstLine="0"/>
    </w:pPr>
  </w:style>
  <w:style w:type="paragraph" w:styleId="ListContinue5">
    <w:name w:val="List Continue 5"/>
    <w:basedOn w:val="List5"/>
    <w:rsid w:val="00DE674E"/>
    <w:pPr>
      <w:ind w:firstLine="0"/>
    </w:pPr>
  </w:style>
  <w:style w:type="paragraph" w:styleId="ListNumber3">
    <w:name w:val="List Number 3"/>
    <w:basedOn w:val="List3"/>
    <w:rsid w:val="00DE674E"/>
    <w:pPr>
      <w:numPr>
        <w:numId w:val="5"/>
      </w:numPr>
    </w:pPr>
  </w:style>
  <w:style w:type="paragraph" w:styleId="ListNumber4">
    <w:name w:val="List Number 4"/>
    <w:basedOn w:val="List4"/>
    <w:rsid w:val="00DE674E"/>
    <w:pPr>
      <w:numPr>
        <w:numId w:val="6"/>
      </w:numPr>
    </w:pPr>
  </w:style>
  <w:style w:type="paragraph" w:styleId="ListNumber5">
    <w:name w:val="List Number 5"/>
    <w:basedOn w:val="List5"/>
    <w:rsid w:val="00DE674E"/>
    <w:pPr>
      <w:numPr>
        <w:numId w:val="7"/>
      </w:numPr>
    </w:pPr>
  </w:style>
  <w:style w:type="paragraph" w:styleId="BlockText">
    <w:name w:val="Block Text"/>
    <w:basedOn w:val="Normal"/>
    <w:rsid w:val="00DE674E"/>
    <w:pPr>
      <w:spacing w:after="120"/>
      <w:ind w:left="1440" w:right="1440"/>
    </w:pPr>
  </w:style>
  <w:style w:type="character" w:customStyle="1" w:styleId="Subscript">
    <w:name w:val="Subscript"/>
    <w:basedOn w:val="DefaultParagraphFont"/>
    <w:rsid w:val="00DE674E"/>
    <w:rPr>
      <w:sz w:val="16"/>
      <w:vertAlign w:val="subscript"/>
    </w:rPr>
  </w:style>
  <w:style w:type="character" w:customStyle="1" w:styleId="Superscript">
    <w:name w:val="Superscript"/>
    <w:basedOn w:val="DefaultParagraphFont"/>
    <w:rsid w:val="00DE674E"/>
    <w:rPr>
      <w:sz w:val="16"/>
      <w:vertAlign w:val="superscript"/>
    </w:rPr>
  </w:style>
  <w:style w:type="character" w:customStyle="1" w:styleId="Symbols">
    <w:name w:val="Symbols"/>
    <w:basedOn w:val="DefaultParagraphFont"/>
    <w:rsid w:val="00DE674E"/>
    <w:rPr>
      <w:rFonts w:ascii="Symbol" w:hAnsi="Symbol"/>
    </w:rPr>
  </w:style>
  <w:style w:type="character" w:customStyle="1" w:styleId="MenuOptions">
    <w:name w:val="Menu Options"/>
    <w:basedOn w:val="DefaultParagraphFont"/>
    <w:rsid w:val="00DE674E"/>
    <w:rPr>
      <w:rFonts w:ascii="Arial Narrow" w:hAnsi="Arial Narrow"/>
      <w:smallCaps/>
    </w:rPr>
  </w:style>
  <w:style w:type="character" w:customStyle="1" w:styleId="Buttons">
    <w:name w:val="Buttons"/>
    <w:basedOn w:val="DefaultParagraphFont"/>
    <w:rsid w:val="00DE674E"/>
    <w:rPr>
      <w:b/>
    </w:rPr>
  </w:style>
  <w:style w:type="character" w:customStyle="1" w:styleId="Underlined">
    <w:name w:val="Underlined"/>
    <w:basedOn w:val="DefaultParagraphFont"/>
    <w:rsid w:val="00DE674E"/>
    <w:rPr>
      <w:u w:val="single"/>
    </w:rPr>
  </w:style>
  <w:style w:type="paragraph" w:customStyle="1" w:styleId="TableBodyTextRight">
    <w:name w:val="Table Body Text Right"/>
    <w:basedOn w:val="TableBodyText"/>
    <w:rsid w:val="00DE674E"/>
    <w:pPr>
      <w:widowControl w:val="0"/>
      <w:autoSpaceDE w:val="0"/>
      <w:autoSpaceDN w:val="0"/>
      <w:adjustRightInd w:val="0"/>
      <w:jc w:val="right"/>
    </w:pPr>
    <w:rPr>
      <w:rFonts w:cs="Arial"/>
      <w:szCs w:val="18"/>
    </w:rPr>
  </w:style>
  <w:style w:type="paragraph" w:customStyle="1" w:styleId="CopyrightText">
    <w:name w:val="Copyright Text"/>
    <w:basedOn w:val="BodyText"/>
    <w:rsid w:val="00DE674E"/>
    <w:rPr>
      <w:sz w:val="18"/>
    </w:rPr>
  </w:style>
  <w:style w:type="paragraph" w:customStyle="1" w:styleId="BodySmallRight">
    <w:name w:val="Body Small Right"/>
    <w:basedOn w:val="BodyTextRight"/>
    <w:rsid w:val="00DE674E"/>
    <w:rPr>
      <w:sz w:val="18"/>
      <w:szCs w:val="18"/>
    </w:rPr>
  </w:style>
  <w:style w:type="paragraph" w:customStyle="1" w:styleId="MarginEdition">
    <w:name w:val="Margin Edition"/>
    <w:basedOn w:val="MarginNote"/>
    <w:rsid w:val="00DE674E"/>
    <w:pPr>
      <w:spacing w:before="0" w:after="0"/>
    </w:pPr>
    <w:rPr>
      <w:rFonts w:ascii="Times New Roman" w:hAnsi="Times New Roman"/>
      <w:color w:val="999999"/>
    </w:rPr>
  </w:style>
  <w:style w:type="paragraph" w:customStyle="1" w:styleId="Spacer">
    <w:name w:val="Spacer"/>
    <w:basedOn w:val="Normal"/>
    <w:rsid w:val="00DE674E"/>
    <w:rPr>
      <w:sz w:val="2"/>
      <w:szCs w:val="2"/>
    </w:rPr>
  </w:style>
  <w:style w:type="character" w:customStyle="1" w:styleId="Small">
    <w:name w:val="Small"/>
    <w:basedOn w:val="DefaultParagraphFont"/>
    <w:rsid w:val="00DE674E"/>
    <w:rPr>
      <w:sz w:val="16"/>
    </w:rPr>
  </w:style>
  <w:style w:type="paragraph" w:customStyle="1" w:styleId="WideTable">
    <w:name w:val="Wide Table"/>
    <w:basedOn w:val="Normal"/>
    <w:rsid w:val="00DE674E"/>
    <w:pPr>
      <w:ind w:left="-1418"/>
    </w:pPr>
    <w:rPr>
      <w:sz w:val="2"/>
      <w:szCs w:val="2"/>
    </w:rPr>
  </w:style>
  <w:style w:type="character" w:styleId="PageNumber">
    <w:name w:val="page number"/>
    <w:basedOn w:val="DefaultParagraphFont"/>
    <w:rsid w:val="00DE674E"/>
  </w:style>
  <w:style w:type="paragraph" w:styleId="Quote">
    <w:name w:val="Quote"/>
    <w:basedOn w:val="Heading1"/>
    <w:link w:val="QuoteChar"/>
    <w:qFormat/>
    <w:rsid w:val="00DE674E"/>
    <w:rPr>
      <w:b w:val="0"/>
      <w:sz w:val="72"/>
      <w:szCs w:val="72"/>
      <w:lang w:val="en-NZ"/>
    </w:rPr>
  </w:style>
  <w:style w:type="character" w:customStyle="1" w:styleId="QuoteChar">
    <w:name w:val="Quote Char"/>
    <w:basedOn w:val="DefaultParagraphFont"/>
    <w:link w:val="Quote"/>
    <w:rsid w:val="00DE67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674E"/>
    <w:pPr>
      <w:pageBreakBefore/>
    </w:pPr>
  </w:style>
  <w:style w:type="paragraph" w:customStyle="1" w:styleId="Border">
    <w:name w:val="Border"/>
    <w:basedOn w:val="Normal"/>
    <w:qFormat/>
    <w:rsid w:val="00DE67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674E"/>
    <w:rPr>
      <w:b/>
      <w:bCs/>
      <w:i/>
      <w:iCs/>
      <w:color w:val="auto"/>
    </w:rPr>
  </w:style>
  <w:style w:type="paragraph" w:styleId="IntenseQuote">
    <w:name w:val="Intense Quote"/>
    <w:basedOn w:val="Normal"/>
    <w:next w:val="Normal"/>
    <w:link w:val="IntenseQuoteChar"/>
    <w:uiPriority w:val="30"/>
    <w:qFormat/>
    <w:rsid w:val="00DE67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67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674E"/>
    <w:rPr>
      <w:smallCaps/>
      <w:color w:val="auto"/>
      <w:u w:val="single"/>
    </w:rPr>
  </w:style>
  <w:style w:type="character" w:styleId="IntenseReference">
    <w:name w:val="Intense Reference"/>
    <w:basedOn w:val="DefaultParagraphFont"/>
    <w:uiPriority w:val="32"/>
    <w:qFormat/>
    <w:rsid w:val="00DE674E"/>
    <w:rPr>
      <w:b/>
      <w:bCs/>
      <w:smallCaps/>
      <w:color w:val="auto"/>
      <w:spacing w:val="5"/>
      <w:u w:val="single"/>
    </w:rPr>
  </w:style>
  <w:style w:type="paragraph" w:customStyle="1" w:styleId="2ColumnHeading">
    <w:name w:val="2Column Heading"/>
    <w:basedOn w:val="BodyText"/>
    <w:qFormat/>
    <w:rsid w:val="00DE674E"/>
    <w:pPr>
      <w:spacing w:after="60"/>
      <w:ind w:left="-2268"/>
    </w:pPr>
    <w:rPr>
      <w:b/>
    </w:rPr>
  </w:style>
  <w:style w:type="paragraph" w:customStyle="1" w:styleId="Heading1TOC">
    <w:name w:val="Heading1 TOC"/>
    <w:basedOn w:val="Normal"/>
    <w:qFormat/>
    <w:rsid w:val="00DE674E"/>
    <w:pPr>
      <w:spacing w:before="240" w:after="120"/>
    </w:pPr>
    <w:rPr>
      <w:rFonts w:ascii="Times New Roman" w:hAnsi="Times New Roman"/>
      <w:b/>
      <w:sz w:val="32"/>
    </w:rPr>
  </w:style>
  <w:style w:type="paragraph" w:customStyle="1" w:styleId="Heading2TOC">
    <w:name w:val="Heading2 TOC"/>
    <w:basedOn w:val="Normal"/>
    <w:qFormat/>
    <w:rsid w:val="00DE674E"/>
    <w:pPr>
      <w:spacing w:before="240" w:after="60"/>
    </w:pPr>
    <w:rPr>
      <w:rFonts w:ascii="Times New Roman" w:hAnsi="Times New Roman"/>
      <w:b/>
      <w:sz w:val="28"/>
    </w:rPr>
  </w:style>
  <w:style w:type="character" w:customStyle="1" w:styleId="Underline">
    <w:name w:val="Underline"/>
    <w:basedOn w:val="DefaultParagraphFont"/>
    <w:qFormat/>
    <w:rsid w:val="00DE674E"/>
    <w:rPr>
      <w:u w:val="single"/>
    </w:rPr>
  </w:style>
  <w:style w:type="character" w:customStyle="1" w:styleId="BoldandItalics">
    <w:name w:val="Bold and Italics"/>
    <w:qFormat/>
    <w:rsid w:val="00DE674E"/>
    <w:rPr>
      <w:b/>
      <w:i/>
      <w:u w:val="none"/>
    </w:rPr>
  </w:style>
  <w:style w:type="paragraph" w:styleId="BalloonText">
    <w:name w:val="Balloon Text"/>
    <w:basedOn w:val="Normal"/>
    <w:link w:val="BalloonTextChar"/>
    <w:rsid w:val="00DE674E"/>
    <w:rPr>
      <w:rFonts w:ascii="Tahoma" w:hAnsi="Tahoma" w:cs="Tahoma"/>
      <w:sz w:val="16"/>
      <w:szCs w:val="16"/>
    </w:rPr>
  </w:style>
  <w:style w:type="character" w:customStyle="1" w:styleId="BalloonTextChar">
    <w:name w:val="Balloon Text Char"/>
    <w:basedOn w:val="DefaultParagraphFont"/>
    <w:link w:val="BalloonText"/>
    <w:rsid w:val="00DE67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67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67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674E"/>
    <w:rPr>
      <w:b/>
      <w:color w:val="660033"/>
      <w:spacing w:val="0"/>
    </w:rPr>
  </w:style>
  <w:style w:type="paragraph" w:customStyle="1" w:styleId="Nameditemlist">
    <w:name w:val="Named item list"/>
    <w:basedOn w:val="BodyText"/>
    <w:qFormat/>
    <w:rsid w:val="00DE674E"/>
    <w:pPr>
      <w:tabs>
        <w:tab w:val="left" w:pos="2835"/>
      </w:tabs>
      <w:ind w:left="2835" w:hanging="2835"/>
    </w:pPr>
  </w:style>
  <w:style w:type="paragraph" w:customStyle="1" w:styleId="BodyTextnopadding">
    <w:name w:val="Body Text no padding"/>
    <w:basedOn w:val="BodyText"/>
    <w:qFormat/>
    <w:rsid w:val="00DE674E"/>
    <w:pPr>
      <w:spacing w:before="0" w:after="0"/>
    </w:pPr>
  </w:style>
  <w:style w:type="paragraph" w:customStyle="1" w:styleId="BodyTextBold">
    <w:name w:val="Body Text Bold"/>
    <w:basedOn w:val="BodyText"/>
    <w:qFormat/>
    <w:rsid w:val="00DE674E"/>
    <w:rPr>
      <w:b/>
    </w:rPr>
  </w:style>
  <w:style w:type="character" w:styleId="Hyperlink">
    <w:name w:val="Hyperlink"/>
    <w:basedOn w:val="DefaultParagraphFont"/>
    <w:uiPriority w:val="99"/>
    <w:unhideWhenUsed/>
    <w:rsid w:val="000D22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1321</Words>
  <Characters>8722</Characters>
  <Application>Microsoft Office Word</Application>
  <DocSecurity>0</DocSecurity>
  <Lines>290</Lines>
  <Paragraphs>170</Paragraphs>
  <ScaleCrop>false</ScaleCrop>
  <Company>Author-it Software Corporation Ltd.</Company>
  <LinksUpToDate>false</LinksUpToDate>
  <CharactersWithSpaces>9873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CPPSCM4056 Manage conflicts and disputes in strata community management</dc:title>
  <dc:subject>Approved</dc:subject>
  <dc:creator>BuildSkills Australia</dc:creator>
  <cp:keywords>Release: 1</cp:keywords>
  <dc:description>Review Date: 12 April 2008</dc:description>
  <cp:lastModifiedBy>HSD_TPCMSd.prod</cp:lastModifiedBy>
  <cp:revision>3</cp:revision>
  <dcterms:created xsi:type="dcterms:W3CDTF">2025-03-01T20:54:00Z</dcterms:created>
  <dcterms:modified xsi:type="dcterms:W3CDTF">2025-03-01T20:54:00Z</dcterms:modified>
</cp:coreProperties>
</file>