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CE7" w:rsidP="00792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CPPREP4509 Auction goods, chattels or equipment</w:t>
      </w:r>
      <w:r>
        <w:fldChar w:fldCharType="end"/>
      </w:r>
    </w:p>
    <w:p w:rsidR="00792CE7" w:rsidP="00792CE7">
      <w:pPr>
        <w:pStyle w:val="Version"/>
        <w:sectPr w:rsidSect="00B04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C0F" w:rsidP="00B04C0F">
      <w:pPr>
        <w:pStyle w:val="SuperHeading"/>
      </w:pPr>
      <w:r w:rsidRPr="00B04C0F">
        <w:t>Assessment Requirements for CPPREP4509 Auction goods, chattels or equipment</w:t>
      </w:r>
    </w:p>
    <w:p w:rsidR="00000000" w:rsidRPr="00B04C0F" w:rsidP="00B04C0F">
      <w:pPr>
        <w:pStyle w:val="Heading1"/>
      </w:pPr>
      <w:bookmarkStart w:id="1" w:name="O_1021350"/>
      <w:bookmarkEnd w:id="1"/>
      <w:r w:rsidRPr="00B04C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4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C0F">
            <w:pPr>
              <w:pStyle w:val="BodyText"/>
              <w:rPr>
                <w:lang w:val="en-NZ"/>
              </w:rPr>
            </w:pPr>
            <w:r w:rsidRPr="00B04C0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C0F" w:rsidP="00B04C0F">
            <w:pPr>
              <w:pStyle w:val="BodyText"/>
            </w:pPr>
            <w:r w:rsidRPr="00B04C0F">
              <w:t>This version first released with CPP Property Services Training Package Release 8.0.</w:t>
            </w:r>
          </w:p>
          <w:p w:rsidR="00000000" w:rsidRPr="00B04C0F" w:rsidP="00B04C0F">
            <w:pPr>
              <w:pStyle w:val="BodyText"/>
            </w:pPr>
            <w:r w:rsidRPr="00B04C0F">
              <w:t>Supersedes and is equivalent to CPPDSM4038A Conduct goods, chattels or equipment clearing sale or auction.</w:t>
            </w:r>
          </w:p>
          <w:p w:rsidR="00000000" w:rsidRPr="00B04C0F" w:rsidP="00B04C0F">
            <w:pPr>
              <w:pStyle w:val="BodyText"/>
            </w:pPr>
            <w:r w:rsidRPr="00B04C0F">
              <w:t>Updated to the Standards for Training Packages.</w:t>
            </w:r>
          </w:p>
        </w:tc>
      </w:tr>
    </w:tbl>
    <w:p w:rsidR="00000000" w:rsidRPr="00B04C0F" w:rsidP="00B04C0F">
      <w:pPr>
        <w:pStyle w:val="BodyText"/>
      </w:pPr>
    </w:p>
    <w:p w:rsidR="00000000" w:rsidRPr="00B04C0F" w:rsidP="00B04C0F">
      <w:pPr>
        <w:pStyle w:val="AllowPageBreak"/>
      </w:pPr>
    </w:p>
    <w:p w:rsidR="00000000" w:rsidRPr="00B04C0F" w:rsidP="00B04C0F">
      <w:pPr>
        <w:pStyle w:val="Heading1"/>
      </w:pPr>
      <w:bookmarkStart w:id="2" w:name="O_1021353"/>
      <w:bookmarkEnd w:id="2"/>
      <w:r w:rsidRPr="00B04C0F">
        <w:t>Performance Evidence</w:t>
      </w:r>
    </w:p>
    <w:p w:rsidR="00000000" w:rsidRPr="00B04C0F" w:rsidP="00792CE7">
      <w:pPr>
        <w:pStyle w:val="BodyText"/>
      </w:pPr>
      <w:r w:rsidRPr="00B04C0F">
        <w:t>To demonstrate competency in this unit, a person must:</w:t>
      </w:r>
    </w:p>
    <w:p w:rsidR="00000000" w:rsidRPr="00B04C0F" w:rsidP="00B04C0F">
      <w:pPr>
        <w:pStyle w:val="ListBullet"/>
      </w:pPr>
      <w:r w:rsidRPr="00B04C0F">
        <w:t>cal</w:t>
      </w:r>
      <w:r w:rsidRPr="00B04C0F">
        <w:t>l one auction, including:</w:t>
      </w:r>
    </w:p>
    <w:p w:rsidR="00000000" w:rsidRPr="00B04C0F" w:rsidP="00B04C0F">
      <w:pPr>
        <w:pStyle w:val="ListBullet2"/>
      </w:pPr>
      <w:r w:rsidRPr="00B04C0F">
        <w:t>opening</w:t>
      </w:r>
    </w:p>
    <w:p w:rsidR="00000000" w:rsidRPr="00B04C0F" w:rsidP="00B04C0F">
      <w:pPr>
        <w:pStyle w:val="ListBullet2"/>
      </w:pPr>
      <w:r w:rsidRPr="00B04C0F">
        <w:t>managing bids</w:t>
      </w:r>
    </w:p>
    <w:p w:rsidR="00000000" w:rsidRPr="00B04C0F" w:rsidP="00B04C0F">
      <w:pPr>
        <w:pStyle w:val="ListBullet2"/>
      </w:pPr>
      <w:r w:rsidRPr="00B04C0F">
        <w:t>closing</w:t>
      </w:r>
    </w:p>
    <w:p w:rsidR="00000000" w:rsidRPr="00B04C0F" w:rsidP="00B04C0F">
      <w:pPr>
        <w:pStyle w:val="ListBullet"/>
      </w:pPr>
      <w:r w:rsidRPr="00B04C0F">
        <w:t>prepare two reports for the following auction scenarios:</w:t>
      </w:r>
    </w:p>
    <w:p w:rsidR="00000000" w:rsidRPr="00B04C0F" w:rsidP="00B04C0F">
      <w:pPr>
        <w:pStyle w:val="ListBullet2"/>
      </w:pPr>
      <w:r w:rsidRPr="00B04C0F">
        <w:t>passed in</w:t>
      </w:r>
    </w:p>
    <w:p w:rsidR="00000000" w:rsidRPr="00B04C0F" w:rsidP="00B04C0F">
      <w:pPr>
        <w:pStyle w:val="ListBullet2"/>
      </w:pPr>
      <w:r w:rsidRPr="00B04C0F">
        <w:t>sold</w:t>
      </w:r>
    </w:p>
    <w:p w:rsidR="00000000" w:rsidRPr="00B04C0F" w:rsidP="00B04C0F">
      <w:pPr>
        <w:pStyle w:val="ListBullet"/>
      </w:pPr>
      <w:r w:rsidRPr="00B04C0F">
        <w:t xml:space="preserve">develop a report assessing personal performance for the auction conducted; the report must </w:t>
      </w:r>
      <w:r w:rsidRPr="00B04C0F">
        <w:t>identify personal strengths and opportunities for improvement.</w:t>
      </w:r>
    </w:p>
    <w:p w:rsidR="00000000" w:rsidRPr="00B04C0F" w:rsidP="00792CE7">
      <w:pPr>
        <w:pStyle w:val="BodyText"/>
      </w:pPr>
      <w:r w:rsidRPr="00B04C0F">
        <w:t>In doing this, the person must meet the performance criteria for this unit.</w:t>
      </w:r>
    </w:p>
    <w:p w:rsidR="00000000" w:rsidRPr="00B04C0F" w:rsidP="00B04C0F">
      <w:pPr>
        <w:pStyle w:val="Heading1"/>
      </w:pPr>
      <w:bookmarkStart w:id="3" w:name="O_1021352"/>
      <w:bookmarkEnd w:id="3"/>
      <w:r w:rsidRPr="00B04C0F">
        <w:t>Knowledge Evidence</w:t>
      </w:r>
    </w:p>
    <w:p w:rsidR="00000000" w:rsidRPr="00B04C0F" w:rsidP="00792CE7">
      <w:pPr>
        <w:pStyle w:val="BodyText"/>
      </w:pPr>
      <w:r w:rsidRPr="00B04C0F">
        <w:t>To be competent in this unit, a person must demonstrate knowledge of:</w:t>
      </w:r>
    </w:p>
    <w:p w:rsidR="00000000" w:rsidRPr="00B04C0F" w:rsidP="00B04C0F">
      <w:pPr>
        <w:pStyle w:val="ListBullet"/>
      </w:pPr>
      <w:r w:rsidRPr="00B04C0F">
        <w:t>auctione</w:t>
      </w:r>
      <w:r w:rsidRPr="00B04C0F">
        <w:t>er role, responsibilities and risks</w:t>
      </w:r>
    </w:p>
    <w:p w:rsidR="00000000" w:rsidRPr="00B04C0F" w:rsidP="00B04C0F">
      <w:pPr>
        <w:pStyle w:val="ListBullet"/>
      </w:pPr>
      <w:r w:rsidRPr="00B04C0F">
        <w:t>reserve price:</w:t>
      </w:r>
    </w:p>
    <w:p w:rsidR="00000000" w:rsidRPr="00B04C0F" w:rsidP="00B04C0F">
      <w:pPr>
        <w:pStyle w:val="ListBullet2"/>
      </w:pPr>
      <w:r w:rsidRPr="00B04C0F">
        <w:t>definition</w:t>
      </w:r>
    </w:p>
    <w:p w:rsidR="00000000" w:rsidRPr="00B04C0F" w:rsidP="00B04C0F">
      <w:pPr>
        <w:pStyle w:val="ListBullet2"/>
      </w:pPr>
      <w:r w:rsidRPr="00B04C0F">
        <w:t>purpose</w:t>
      </w:r>
    </w:p>
    <w:p w:rsidR="00000000" w:rsidRPr="00B04C0F" w:rsidP="00B04C0F">
      <w:pPr>
        <w:pStyle w:val="ListBullet2"/>
      </w:pPr>
      <w:r w:rsidRPr="00B04C0F">
        <w:t>setting</w:t>
      </w:r>
    </w:p>
    <w:p w:rsidR="00000000" w:rsidRPr="00B04C0F" w:rsidP="00B04C0F">
      <w:pPr>
        <w:pStyle w:val="ListBullet"/>
      </w:pPr>
      <w:r w:rsidRPr="00B04C0F">
        <w:t>auction instructions and auction day procedures</w:t>
      </w:r>
    </w:p>
    <w:p w:rsidR="00000000" w:rsidRPr="00B04C0F" w:rsidP="00B04C0F">
      <w:pPr>
        <w:pStyle w:val="ListBullet"/>
      </w:pPr>
      <w:r w:rsidRPr="00B04C0F">
        <w:t>auction documentation</w:t>
      </w:r>
    </w:p>
    <w:p w:rsidR="00000000" w:rsidRPr="00B04C0F" w:rsidP="00B04C0F">
      <w:pPr>
        <w:pStyle w:val="ListBullet"/>
      </w:pPr>
      <w:r w:rsidRPr="00B04C0F">
        <w:t>auction aids and equipment</w:t>
      </w:r>
    </w:p>
    <w:p w:rsidR="00000000" w:rsidRPr="00B04C0F" w:rsidP="00B04C0F">
      <w:pPr>
        <w:pStyle w:val="ListBullet"/>
      </w:pPr>
      <w:r w:rsidRPr="00B04C0F">
        <w:t>staff required to support auction</w:t>
      </w:r>
    </w:p>
    <w:p w:rsidR="00000000" w:rsidRPr="00B04C0F" w:rsidP="00B04C0F">
      <w:pPr>
        <w:pStyle w:val="ListBullet"/>
      </w:pPr>
      <w:r w:rsidRPr="00B04C0F">
        <w:t>preparation of auction area:</w:t>
      </w:r>
    </w:p>
    <w:p w:rsidR="00000000" w:rsidRPr="00B04C0F" w:rsidP="00B04C0F">
      <w:pPr>
        <w:pStyle w:val="ListBullet2"/>
      </w:pPr>
      <w:r w:rsidRPr="00B04C0F">
        <w:t>access</w:t>
      </w:r>
    </w:p>
    <w:p w:rsidR="00000000" w:rsidRPr="00B04C0F" w:rsidP="00B04C0F">
      <w:pPr>
        <w:pStyle w:val="ListBullet2"/>
      </w:pPr>
      <w:r w:rsidRPr="00B04C0F">
        <w:t>identification of hazards</w:t>
      </w:r>
    </w:p>
    <w:p w:rsidR="00000000" w:rsidRPr="00B04C0F" w:rsidP="00B04C0F">
      <w:pPr>
        <w:pStyle w:val="ListBullet2"/>
      </w:pPr>
      <w:r w:rsidRPr="00B04C0F">
        <w:t xml:space="preserve">assessment of risks </w:t>
      </w:r>
    </w:p>
    <w:p w:rsidR="00000000" w:rsidRPr="00B04C0F" w:rsidP="00B04C0F">
      <w:pPr>
        <w:pStyle w:val="ListBullet2"/>
      </w:pPr>
      <w:r w:rsidRPr="00B04C0F">
        <w:t xml:space="preserve">implementation of risk controls </w:t>
      </w:r>
    </w:p>
    <w:p w:rsidR="00000000" w:rsidRPr="00B04C0F" w:rsidP="00B04C0F">
      <w:pPr>
        <w:pStyle w:val="ListBullet"/>
      </w:pPr>
      <w:r w:rsidRPr="00B04C0F">
        <w:t>auction process:</w:t>
      </w:r>
    </w:p>
    <w:p w:rsidR="00000000" w:rsidRPr="00B04C0F" w:rsidP="00B04C0F">
      <w:pPr>
        <w:pStyle w:val="ListBullet2"/>
      </w:pPr>
      <w:r w:rsidRPr="00B04C0F">
        <w:t>stating rules and conditions of auction according to legislative requirements</w:t>
      </w:r>
    </w:p>
    <w:p w:rsidR="00000000" w:rsidRPr="00B04C0F" w:rsidP="00B04C0F">
      <w:pPr>
        <w:pStyle w:val="ListBullet2"/>
      </w:pPr>
      <w:r w:rsidRPr="00B04C0F">
        <w:t>calling for bids including:</w:t>
      </w:r>
    </w:p>
    <w:p w:rsidR="00000000" w:rsidRPr="00B04C0F" w:rsidP="00B04C0F">
      <w:pPr>
        <w:pStyle w:val="ListBullet3"/>
      </w:pPr>
      <w:r w:rsidRPr="00B04C0F">
        <w:t>disruptive bidders</w:t>
      </w:r>
    </w:p>
    <w:p w:rsidR="00000000" w:rsidRPr="00B04C0F" w:rsidP="00B04C0F">
      <w:pPr>
        <w:pStyle w:val="ListBullet3"/>
      </w:pPr>
      <w:r w:rsidRPr="00B04C0F">
        <w:t>potential collusive bidding practices</w:t>
      </w:r>
    </w:p>
    <w:p w:rsidR="00000000" w:rsidRPr="00B04C0F" w:rsidP="00B04C0F">
      <w:pPr>
        <w:pStyle w:val="ListBullet3"/>
      </w:pPr>
      <w:r w:rsidRPr="00B04C0F">
        <w:t xml:space="preserve">disputed bidding </w:t>
      </w:r>
    </w:p>
    <w:p w:rsidR="00000000" w:rsidRPr="00B04C0F" w:rsidP="00B04C0F">
      <w:pPr>
        <w:pStyle w:val="ListBullet3"/>
      </w:pPr>
      <w:r w:rsidRPr="00B04C0F">
        <w:t>retracting bids</w:t>
      </w:r>
    </w:p>
    <w:p w:rsidR="00000000" w:rsidRPr="00B04C0F" w:rsidP="00B04C0F">
      <w:pPr>
        <w:pStyle w:val="ListBullet2"/>
      </w:pPr>
      <w:r w:rsidRPr="00B04C0F">
        <w:t>closing bids including:</w:t>
      </w:r>
    </w:p>
    <w:p w:rsidR="00000000" w:rsidRPr="00B04C0F" w:rsidP="00B04C0F">
      <w:pPr>
        <w:pStyle w:val="ListBullet3"/>
      </w:pPr>
      <w:r w:rsidRPr="00B04C0F">
        <w:t>final call</w:t>
      </w:r>
    </w:p>
    <w:p w:rsidR="00000000" w:rsidRPr="00B04C0F" w:rsidP="00B04C0F">
      <w:pPr>
        <w:pStyle w:val="ListBullet3"/>
      </w:pPr>
      <w:r w:rsidRPr="00B04C0F">
        <w:t>fall of hammer</w:t>
      </w:r>
    </w:p>
    <w:p w:rsidR="00000000" w:rsidRPr="00B04C0F" w:rsidP="00B04C0F">
      <w:pPr>
        <w:pStyle w:val="ListBullet3"/>
      </w:pPr>
      <w:r w:rsidRPr="00B04C0F">
        <w:t>closing script</w:t>
      </w:r>
    </w:p>
    <w:p w:rsidR="00000000" w:rsidRPr="00B04C0F" w:rsidP="00B04C0F">
      <w:pPr>
        <w:pStyle w:val="ListBullet2"/>
      </w:pPr>
      <w:r w:rsidRPr="00B04C0F">
        <w:t>confirming or renegotiating reserve with seller as appropriate</w:t>
      </w:r>
    </w:p>
    <w:p w:rsidR="00000000" w:rsidRPr="00B04C0F" w:rsidP="00B04C0F">
      <w:pPr>
        <w:pStyle w:val="ListBullet2"/>
      </w:pPr>
      <w:r w:rsidRPr="00B04C0F">
        <w:t xml:space="preserve">describing lot condition </w:t>
      </w:r>
    </w:p>
    <w:p w:rsidR="00000000" w:rsidRPr="00B04C0F" w:rsidP="00B04C0F">
      <w:pPr>
        <w:pStyle w:val="ListBullet2"/>
      </w:pPr>
      <w:r w:rsidRPr="00B04C0F">
        <w:t>identifying salient feature</w:t>
      </w:r>
      <w:r w:rsidRPr="00B04C0F">
        <w:t>s of contract</w:t>
      </w:r>
    </w:p>
    <w:p w:rsidR="00000000" w:rsidRPr="00B04C0F" w:rsidP="00B04C0F">
      <w:pPr>
        <w:pStyle w:val="ListBullet2"/>
      </w:pPr>
      <w:r w:rsidRPr="00B04C0F">
        <w:t>knocking down or passing in lot as appropriate</w:t>
      </w:r>
    </w:p>
    <w:p w:rsidR="00000000" w:rsidRPr="00B04C0F" w:rsidP="00B04C0F">
      <w:pPr>
        <w:pStyle w:val="ListBullet2"/>
      </w:pPr>
      <w:r w:rsidRPr="00B04C0F">
        <w:t>using vendor bidding as appropriate according to state or territory legislation</w:t>
      </w:r>
    </w:p>
    <w:p w:rsidR="00000000" w:rsidRPr="00B04C0F" w:rsidP="00B04C0F">
      <w:pPr>
        <w:pStyle w:val="ListBullet"/>
      </w:pPr>
      <w:r w:rsidRPr="00B04C0F">
        <w:t xml:space="preserve">capacity of bidders </w:t>
      </w:r>
    </w:p>
    <w:p w:rsidR="00000000" w:rsidRPr="00B04C0F" w:rsidP="00B04C0F">
      <w:pPr>
        <w:pStyle w:val="ListBullet"/>
      </w:pPr>
      <w:r w:rsidRPr="00B04C0F">
        <w:t>negotiation techniques</w:t>
      </w:r>
    </w:p>
    <w:p w:rsidR="00000000" w:rsidRPr="00B04C0F" w:rsidP="00B04C0F">
      <w:pPr>
        <w:pStyle w:val="ListBullet"/>
      </w:pPr>
      <w:r w:rsidRPr="00B04C0F">
        <w:t>legislation related to sale of goods, chattels or equipment by auction in the state or territory of operation</w:t>
      </w:r>
    </w:p>
    <w:p w:rsidR="00000000" w:rsidRPr="00B04C0F" w:rsidP="00B04C0F">
      <w:pPr>
        <w:pStyle w:val="ListBullet"/>
      </w:pPr>
      <w:r w:rsidRPr="00B04C0F">
        <w:t xml:space="preserve">penalties for breach of auction legislation </w:t>
      </w:r>
    </w:p>
    <w:p w:rsidR="00000000" w:rsidRPr="00B04C0F" w:rsidP="00B04C0F">
      <w:pPr>
        <w:pStyle w:val="ListBullet"/>
      </w:pPr>
      <w:r w:rsidRPr="00B04C0F">
        <w:t>risks to the general public, clients, agency and self from auction activities</w:t>
      </w:r>
    </w:p>
    <w:p w:rsidR="00000000" w:rsidRPr="00B04C0F" w:rsidP="00B04C0F">
      <w:pPr>
        <w:pStyle w:val="ListBullet"/>
      </w:pPr>
      <w:r w:rsidRPr="00B04C0F">
        <w:t>ethical practice in auc</w:t>
      </w:r>
      <w:r w:rsidRPr="00B04C0F">
        <w:t>tioneering:</w:t>
      </w:r>
    </w:p>
    <w:p w:rsidR="00000000" w:rsidRPr="00B04C0F" w:rsidP="00B04C0F">
      <w:pPr>
        <w:pStyle w:val="ListBullet2"/>
      </w:pPr>
      <w:r w:rsidRPr="00B04C0F">
        <w:t>communication</w:t>
      </w:r>
    </w:p>
    <w:p w:rsidR="00000000" w:rsidRPr="00B04C0F" w:rsidP="00B04C0F">
      <w:pPr>
        <w:pStyle w:val="ListBullet2"/>
      </w:pPr>
      <w:r w:rsidRPr="00B04C0F">
        <w:t>neutrality in the auction process</w:t>
      </w:r>
    </w:p>
    <w:p w:rsidR="00000000" w:rsidRPr="00B04C0F" w:rsidP="00B04C0F">
      <w:pPr>
        <w:pStyle w:val="ListBullet2"/>
      </w:pPr>
      <w:r w:rsidRPr="00B04C0F">
        <w:t>ethical management of the bidding process</w:t>
      </w:r>
    </w:p>
    <w:p w:rsidR="00000000" w:rsidRPr="00B04C0F" w:rsidP="00B04C0F">
      <w:pPr>
        <w:pStyle w:val="ListBullet"/>
      </w:pPr>
      <w:r w:rsidRPr="00B04C0F">
        <w:t>agency sales records relating to the sale of goods, chattels and equipment and processes to update details</w:t>
      </w:r>
    </w:p>
    <w:p w:rsidR="00000000" w:rsidRPr="00B04C0F" w:rsidP="00B04C0F">
      <w:pPr>
        <w:pStyle w:val="ListBullet"/>
      </w:pPr>
      <w:r w:rsidRPr="00B04C0F">
        <w:t>goods, chattels and equipment for different t</w:t>
      </w:r>
      <w:r w:rsidRPr="00B04C0F">
        <w:t>ypes of property</w:t>
      </w:r>
    </w:p>
    <w:p w:rsidR="00000000" w:rsidRPr="00B04C0F" w:rsidP="00B04C0F">
      <w:pPr>
        <w:pStyle w:val="ListBullet"/>
      </w:pPr>
      <w:r w:rsidRPr="00B04C0F">
        <w:t>security measures</w:t>
      </w:r>
    </w:p>
    <w:p w:rsidR="00000000" w:rsidRPr="00B04C0F" w:rsidP="00B04C0F">
      <w:pPr>
        <w:pStyle w:val="ListBullet"/>
      </w:pPr>
      <w:r w:rsidRPr="00B04C0F">
        <w:t>communication strategies for responding to client complaints.</w:t>
      </w:r>
    </w:p>
    <w:p w:rsidR="00000000" w:rsidRPr="00B04C0F" w:rsidP="00B04C0F">
      <w:pPr>
        <w:pStyle w:val="AllowPageBreak"/>
      </w:pPr>
    </w:p>
    <w:p w:rsidR="00000000" w:rsidRPr="00B04C0F" w:rsidP="00B04C0F">
      <w:pPr>
        <w:pStyle w:val="Heading1"/>
      </w:pPr>
      <w:bookmarkStart w:id="4" w:name="O_1021351"/>
      <w:bookmarkEnd w:id="4"/>
      <w:r w:rsidRPr="00B04C0F">
        <w:t>Assessment Conditions</w:t>
      </w:r>
    </w:p>
    <w:p w:rsidR="00000000" w:rsidRPr="00B04C0F" w:rsidP="00792CE7">
      <w:pPr>
        <w:pStyle w:val="BodyText"/>
      </w:pPr>
      <w:r w:rsidRPr="00B04C0F">
        <w:t xml:space="preserve">Assessors must satisfy the requirements for assessors listed in the Standards for Registered Training Organisations. </w:t>
      </w:r>
    </w:p>
    <w:p w:rsidR="00000000" w:rsidRPr="00B04C0F" w:rsidP="00792CE7">
      <w:pPr>
        <w:pStyle w:val="BodyText"/>
      </w:pPr>
      <w:r w:rsidRPr="00B04C0F">
        <w:t>Assessment must be conducted in the workplace or in a simulated workplace environment.</w:t>
      </w:r>
    </w:p>
    <w:p w:rsidR="00000000" w:rsidRPr="00B04C0F" w:rsidP="00792CE7">
      <w:pPr>
        <w:pStyle w:val="BodyText"/>
      </w:pPr>
      <w:r w:rsidRPr="00B04C0F">
        <w:t>Assessors are responsible for ensuring that the person demonstrating competency has access to:</w:t>
      </w:r>
    </w:p>
    <w:p w:rsidR="00000000" w:rsidRPr="00B04C0F" w:rsidP="00B04C0F">
      <w:pPr>
        <w:pStyle w:val="ListBullet"/>
      </w:pPr>
      <w:r w:rsidRPr="00B04C0F">
        <w:t>auction scenarios, auction advice, auction plan</w:t>
      </w:r>
    </w:p>
    <w:p w:rsidR="00000000" w:rsidRPr="00B04C0F" w:rsidP="00B04C0F">
      <w:pPr>
        <w:pStyle w:val="ListBullet"/>
      </w:pPr>
      <w:r w:rsidRPr="00B04C0F">
        <w:t>auction catalogue and des</w:t>
      </w:r>
      <w:r w:rsidRPr="00B04C0F">
        <w:t>cription of goods, chattels or equipment</w:t>
      </w:r>
    </w:p>
    <w:p w:rsidR="00000000" w:rsidRPr="00B04C0F" w:rsidP="00B04C0F">
      <w:pPr>
        <w:pStyle w:val="ListBullet"/>
      </w:pPr>
      <w:r w:rsidRPr="00B04C0F">
        <w:t>bidders for goods, chattels or equipment</w:t>
      </w:r>
    </w:p>
    <w:p w:rsidR="00000000" w:rsidRPr="00B04C0F" w:rsidP="00B04C0F">
      <w:pPr>
        <w:pStyle w:val="ListBullet"/>
      </w:pPr>
      <w:r w:rsidRPr="00B04C0F">
        <w:t>sources of information about goods, chattels or equipment condition and ownership</w:t>
      </w:r>
    </w:p>
    <w:p w:rsidR="00000000" w:rsidRPr="00B04C0F" w:rsidP="00B04C0F">
      <w:pPr>
        <w:pStyle w:val="ListBullet"/>
      </w:pPr>
      <w:r w:rsidRPr="00B04C0F">
        <w:t>legislation relating to sale of goods, chattels or equipment by auction in the state or terr</w:t>
      </w:r>
      <w:r w:rsidRPr="00B04C0F">
        <w:t>itory of operation.</w:t>
      </w:r>
    </w:p>
    <w:p w:rsidR="00000000" w:rsidRPr="00B04C0F" w:rsidP="00B04C0F">
      <w:pPr>
        <w:pStyle w:val="AllowPageBreak"/>
      </w:pPr>
    </w:p>
    <w:p w:rsidR="00000000" w:rsidRPr="00B04C0F" w:rsidP="00B04C0F">
      <w:pPr>
        <w:pStyle w:val="Heading1"/>
      </w:pPr>
      <w:bookmarkStart w:id="5" w:name="O_1021349"/>
      <w:bookmarkEnd w:id="5"/>
      <w:r w:rsidRPr="00B04C0F">
        <w:t>Links</w:t>
      </w:r>
    </w:p>
    <w:p w:rsidR="00000000" w:rsidRPr="00B04C0F" w:rsidP="00792CE7">
      <w:pPr>
        <w:pStyle w:val="BodyText"/>
      </w:pPr>
      <w:r w:rsidRPr="00B04C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56E3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4C0F" w:rsidP="00B04C0F"/>
    <w:sectPr w:rsidSect="00B04C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0F" w:rsidRPr="00792CE7" w:rsidP="00792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E7" w:rsidP="00B04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CE7" w:rsidP="00B04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92CE7" w:rsidP="00B04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C0F" w:rsidRPr="00792CE7" w:rsidP="00792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E7" w:rsidRPr="002D2AF8" w:rsidP="00B04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CPPREP4509 Auction goods, chattels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92CE7" w:rsidP="00B04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68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E3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06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C0F"/>
  </w:style>
  <w:style w:type="character" w:customStyle="1" w:styleId="Heading1Char">
    <w:name w:val="Heading 1 Char"/>
    <w:basedOn w:val="DefaultParagraphFont"/>
    <w:link w:val="Heading1"/>
    <w:rsid w:val="00B04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C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C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4C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4C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4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C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C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C0F"/>
    <w:rPr>
      <w:b/>
      <w:spacing w:val="0"/>
    </w:rPr>
  </w:style>
  <w:style w:type="paragraph" w:customStyle="1" w:styleId="SuperTitle">
    <w:name w:val="SuperTitle"/>
    <w:basedOn w:val="Title"/>
    <w:rsid w:val="00B04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C0F"/>
    <w:rPr>
      <w:i/>
    </w:rPr>
  </w:style>
  <w:style w:type="paragraph" w:styleId="Caption">
    <w:name w:val="caption"/>
    <w:basedOn w:val="BodyText"/>
    <w:next w:val="Normal"/>
    <w:qFormat/>
    <w:rsid w:val="00B04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C0F"/>
  </w:style>
  <w:style w:type="paragraph" w:styleId="TableofFigures">
    <w:name w:val="table of figures"/>
    <w:basedOn w:val="Normal"/>
    <w:next w:val="Normal"/>
    <w:semiHidden/>
    <w:rsid w:val="00B04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C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4C0F"/>
    <w:rPr>
      <w:rFonts w:ascii="Wingdings" w:hAnsi="Wingdings"/>
    </w:rPr>
  </w:style>
  <w:style w:type="paragraph" w:customStyle="1" w:styleId="TableHeading">
    <w:name w:val="Table Heading"/>
    <w:basedOn w:val="HeadingBase"/>
    <w:rsid w:val="00B04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C0F"/>
    <w:rPr>
      <w:color w:val="0033CC"/>
      <w:u w:val="none"/>
    </w:rPr>
  </w:style>
  <w:style w:type="paragraph" w:customStyle="1" w:styleId="BodyTextRight">
    <w:name w:val="Body Text Right"/>
    <w:basedOn w:val="BodyText"/>
    <w:rsid w:val="00B04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C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C0F"/>
    <w:rPr>
      <w:sz w:val="32"/>
    </w:rPr>
  </w:style>
  <w:style w:type="paragraph" w:customStyle="1" w:styleId="HeadingProcedure">
    <w:name w:val="Heading Procedure"/>
    <w:basedOn w:val="HeadingBase"/>
    <w:next w:val="Normal"/>
    <w:rsid w:val="00B04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C0F"/>
    <w:pPr>
      <w:spacing w:before="60" w:after="60"/>
    </w:pPr>
  </w:style>
  <w:style w:type="paragraph" w:styleId="ListContinue">
    <w:name w:val="List Continue"/>
    <w:basedOn w:val="List"/>
    <w:rsid w:val="00B04C0F"/>
    <w:pPr>
      <w:ind w:firstLine="0"/>
    </w:pPr>
  </w:style>
  <w:style w:type="paragraph" w:customStyle="1" w:styleId="ListNote">
    <w:name w:val="List Note"/>
    <w:basedOn w:val="List"/>
    <w:rsid w:val="00B04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C0F"/>
    <w:rPr>
      <w:rFonts w:ascii="Courier New" w:hAnsi="Courier New"/>
    </w:rPr>
  </w:style>
  <w:style w:type="paragraph" w:customStyle="1" w:styleId="NoteBullet">
    <w:name w:val="Note Bullet"/>
    <w:basedOn w:val="Note"/>
    <w:rsid w:val="00B04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C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4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C0F"/>
    <w:rPr>
      <w:b/>
      <w:smallCaps/>
    </w:rPr>
  </w:style>
  <w:style w:type="paragraph" w:customStyle="1" w:styleId="TableListNumber">
    <w:name w:val="Table List Number"/>
    <w:basedOn w:val="ListNumber"/>
    <w:rsid w:val="00B04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C0F"/>
    <w:pPr>
      <w:numPr>
        <w:numId w:val="10"/>
      </w:numPr>
    </w:pPr>
  </w:style>
  <w:style w:type="paragraph" w:customStyle="1" w:styleId="ListAlpha2">
    <w:name w:val="List Alpha 2"/>
    <w:basedOn w:val="List2"/>
    <w:rsid w:val="00B04C0F"/>
    <w:pPr>
      <w:numPr>
        <w:numId w:val="9"/>
      </w:numPr>
    </w:pPr>
  </w:style>
  <w:style w:type="paragraph" w:styleId="List2">
    <w:name w:val="List 2"/>
    <w:basedOn w:val="BodyText"/>
    <w:rsid w:val="00B04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C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4C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4C0F"/>
    <w:pPr>
      <w:numPr>
        <w:numId w:val="5"/>
      </w:numPr>
    </w:pPr>
  </w:style>
  <w:style w:type="paragraph" w:styleId="ListContinue2">
    <w:name w:val="List Continue 2"/>
    <w:basedOn w:val="List2"/>
    <w:rsid w:val="00B04C0F"/>
    <w:pPr>
      <w:ind w:firstLine="0"/>
    </w:pPr>
  </w:style>
  <w:style w:type="paragraph" w:styleId="ListContinue3">
    <w:name w:val="List Continue 3"/>
    <w:basedOn w:val="List3"/>
    <w:rsid w:val="00B04C0F"/>
    <w:pPr>
      <w:ind w:left="1021" w:firstLine="0"/>
    </w:pPr>
  </w:style>
  <w:style w:type="paragraph" w:styleId="ListContinue4">
    <w:name w:val="List Continue 4"/>
    <w:basedOn w:val="List4"/>
    <w:rsid w:val="00B04C0F"/>
    <w:pPr>
      <w:ind w:firstLine="0"/>
    </w:pPr>
  </w:style>
  <w:style w:type="paragraph" w:styleId="ListContinue5">
    <w:name w:val="List Continue 5"/>
    <w:basedOn w:val="List5"/>
    <w:rsid w:val="00B04C0F"/>
    <w:pPr>
      <w:ind w:firstLine="0"/>
    </w:pPr>
  </w:style>
  <w:style w:type="paragraph" w:styleId="ListNumber3">
    <w:name w:val="List Number 3"/>
    <w:basedOn w:val="List3"/>
    <w:rsid w:val="00B04C0F"/>
    <w:pPr>
      <w:numPr>
        <w:numId w:val="6"/>
      </w:numPr>
    </w:pPr>
  </w:style>
  <w:style w:type="paragraph" w:styleId="ListNumber4">
    <w:name w:val="List Number 4"/>
    <w:basedOn w:val="List4"/>
    <w:rsid w:val="00B04C0F"/>
    <w:pPr>
      <w:numPr>
        <w:numId w:val="7"/>
      </w:numPr>
    </w:pPr>
  </w:style>
  <w:style w:type="paragraph" w:styleId="ListNumber5">
    <w:name w:val="List Number 5"/>
    <w:basedOn w:val="List5"/>
    <w:rsid w:val="00B04C0F"/>
    <w:pPr>
      <w:numPr>
        <w:numId w:val="8"/>
      </w:numPr>
    </w:pPr>
  </w:style>
  <w:style w:type="paragraph" w:styleId="BlockText">
    <w:name w:val="Block Text"/>
    <w:basedOn w:val="Normal"/>
    <w:rsid w:val="00B04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C0F"/>
    <w:rPr>
      <w:sz w:val="16"/>
      <w:vertAlign w:val="superscript"/>
    </w:rPr>
  </w:style>
  <w:style w:type="character" w:customStyle="1" w:styleId="Symbols">
    <w:name w:val="Symbols"/>
    <w:basedOn w:val="DefaultParagraphFont"/>
    <w:rsid w:val="00B04C0F"/>
    <w:rPr>
      <w:rFonts w:ascii="Symbol" w:hAnsi="Symbol"/>
    </w:rPr>
  </w:style>
  <w:style w:type="character" w:customStyle="1" w:styleId="MenuOptions">
    <w:name w:val="Menu Options"/>
    <w:basedOn w:val="DefaultParagraphFont"/>
    <w:rsid w:val="00B04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C0F"/>
    <w:rPr>
      <w:b/>
    </w:rPr>
  </w:style>
  <w:style w:type="character" w:customStyle="1" w:styleId="Underlined">
    <w:name w:val="Underlined"/>
    <w:basedOn w:val="DefaultParagraphFont"/>
    <w:rsid w:val="00B04C0F"/>
    <w:rPr>
      <w:u w:val="single"/>
    </w:rPr>
  </w:style>
  <w:style w:type="paragraph" w:customStyle="1" w:styleId="TableBodyTextRight">
    <w:name w:val="Table Body Text Right"/>
    <w:basedOn w:val="TableBodyText"/>
    <w:rsid w:val="00B04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C0F"/>
    <w:rPr>
      <w:sz w:val="18"/>
    </w:rPr>
  </w:style>
  <w:style w:type="paragraph" w:customStyle="1" w:styleId="BodySmallRight">
    <w:name w:val="Body Small Right"/>
    <w:basedOn w:val="BodyTextRight"/>
    <w:rsid w:val="00B04C0F"/>
    <w:rPr>
      <w:sz w:val="18"/>
      <w:szCs w:val="18"/>
    </w:rPr>
  </w:style>
  <w:style w:type="paragraph" w:customStyle="1" w:styleId="MarginEdition">
    <w:name w:val="Margin Edition"/>
    <w:basedOn w:val="MarginNote"/>
    <w:rsid w:val="00B04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C0F"/>
    <w:rPr>
      <w:sz w:val="2"/>
      <w:szCs w:val="2"/>
    </w:rPr>
  </w:style>
  <w:style w:type="character" w:customStyle="1" w:styleId="Small">
    <w:name w:val="Small"/>
    <w:basedOn w:val="DefaultParagraphFont"/>
    <w:rsid w:val="00B04C0F"/>
    <w:rPr>
      <w:sz w:val="16"/>
    </w:rPr>
  </w:style>
  <w:style w:type="paragraph" w:customStyle="1" w:styleId="WideTable">
    <w:name w:val="Wide Table"/>
    <w:basedOn w:val="Normal"/>
    <w:rsid w:val="00B04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C0F"/>
  </w:style>
  <w:style w:type="paragraph" w:styleId="Quote">
    <w:name w:val="Quote"/>
    <w:basedOn w:val="Heading1"/>
    <w:link w:val="QuoteChar"/>
    <w:qFormat/>
    <w:rsid w:val="00B04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C0F"/>
    <w:pPr>
      <w:pageBreakBefore/>
    </w:pPr>
  </w:style>
  <w:style w:type="paragraph" w:customStyle="1" w:styleId="Border">
    <w:name w:val="Border"/>
    <w:basedOn w:val="Normal"/>
    <w:qFormat/>
    <w:rsid w:val="00B04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C0F"/>
    <w:rPr>
      <w:u w:val="single"/>
    </w:rPr>
  </w:style>
  <w:style w:type="character" w:customStyle="1" w:styleId="BoldandItalics">
    <w:name w:val="Bold and Italics"/>
    <w:qFormat/>
    <w:rsid w:val="00B04C0F"/>
    <w:rPr>
      <w:b/>
      <w:i/>
      <w:u w:val="none"/>
    </w:rPr>
  </w:style>
  <w:style w:type="paragraph" w:styleId="BalloonText">
    <w:name w:val="Balloon Text"/>
    <w:basedOn w:val="Normal"/>
    <w:link w:val="BalloonTextChar"/>
    <w:rsid w:val="00B04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C0F"/>
    <w:pPr>
      <w:spacing w:before="0" w:after="0"/>
    </w:pPr>
  </w:style>
  <w:style w:type="paragraph" w:customStyle="1" w:styleId="BodyTextBold">
    <w:name w:val="Body Text Bold"/>
    <w:basedOn w:val="BodyText"/>
    <w:qFormat/>
    <w:rsid w:val="00B04C0F"/>
    <w:rPr>
      <w:b/>
    </w:rPr>
  </w:style>
  <w:style w:type="character" w:styleId="Hyperlink">
    <w:name w:val="Hyperlink"/>
    <w:basedOn w:val="DefaultParagraphFont"/>
    <w:uiPriority w:val="99"/>
    <w:unhideWhenUsed/>
    <w:rsid w:val="00792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3034</Characters>
  <Application>Microsoft Office Word</Application>
  <DocSecurity>0</DocSecurity>
  <Lines>97</Lines>
  <Paragraphs>89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CPPREP4509 Auction goods, chattels or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