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3C3" w:rsidP="001413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CPPREP4162 Conduct and complete sale by auction</w:t>
      </w:r>
      <w:r>
        <w:fldChar w:fldCharType="end"/>
      </w:r>
    </w:p>
    <w:p w:rsidR="001413C3" w:rsidP="001413C3">
      <w:pPr>
        <w:pStyle w:val="Version"/>
        <w:sectPr w:rsidSect="00AB73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3A8" w:rsidP="00AB73A8">
      <w:pPr>
        <w:pStyle w:val="SuperHeading"/>
      </w:pPr>
      <w:r w:rsidRPr="00AB73A8">
        <w:t>Assessment Requirements for CPPREP4162 Conduct and complete sale by auction</w:t>
      </w:r>
    </w:p>
    <w:p w:rsidR="00000000" w:rsidRPr="00AB73A8" w:rsidP="00AB73A8">
      <w:pPr>
        <w:pStyle w:val="Heading1"/>
      </w:pPr>
      <w:bookmarkStart w:id="1" w:name="O_1020823"/>
      <w:bookmarkEnd w:id="1"/>
      <w:r w:rsidRPr="00AB73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B73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3A8">
            <w:pPr>
              <w:pStyle w:val="BodyText"/>
              <w:rPr>
                <w:lang w:val="en-NZ"/>
              </w:rPr>
            </w:pPr>
            <w:r w:rsidRPr="00AB73A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3A8" w:rsidP="00AB73A8">
            <w:pPr>
              <w:pStyle w:val="BodyText"/>
            </w:pPr>
            <w:r w:rsidRPr="00AB73A8">
              <w:t>This version first released with CPP Property Services Training Package Release 8.0.</w:t>
            </w:r>
          </w:p>
          <w:p w:rsidR="00000000" w:rsidRPr="00AB73A8" w:rsidP="00AB73A8">
            <w:pPr>
              <w:pStyle w:val="BodyText"/>
            </w:pPr>
            <w:r w:rsidRPr="00AB73A8">
              <w:t>Supersedes but is not equivalent to CPPDSM4004A Conduct auction and CPPDSM4019A Prepare for auction and complete sale.</w:t>
            </w:r>
          </w:p>
          <w:p w:rsidR="00000000" w:rsidRPr="00AB73A8" w:rsidP="00AB73A8">
            <w:pPr>
              <w:pStyle w:val="BodyText"/>
            </w:pPr>
            <w:r w:rsidRPr="00AB73A8">
              <w:t>Merged to reduce duplication. Updated to the Standards for Training Packages.</w:t>
            </w:r>
          </w:p>
        </w:tc>
      </w:tr>
    </w:tbl>
    <w:p w:rsidR="00000000" w:rsidRPr="00AB73A8" w:rsidP="00AB73A8">
      <w:pPr>
        <w:pStyle w:val="BodyText"/>
      </w:pPr>
    </w:p>
    <w:p w:rsidR="00000000" w:rsidRPr="00AB73A8" w:rsidP="00AB73A8">
      <w:pPr>
        <w:pStyle w:val="AllowPageBreak"/>
      </w:pPr>
    </w:p>
    <w:p w:rsidR="00000000" w:rsidRPr="00AB73A8" w:rsidP="00AB73A8">
      <w:pPr>
        <w:pStyle w:val="Heading1"/>
      </w:pPr>
      <w:bookmarkStart w:id="2" w:name="O_1020826"/>
      <w:bookmarkEnd w:id="2"/>
      <w:r w:rsidRPr="00AB73A8">
        <w:t>Performance Evidence</w:t>
      </w:r>
    </w:p>
    <w:p w:rsidR="00000000" w:rsidRPr="00AB73A8" w:rsidP="001413C3">
      <w:pPr>
        <w:pStyle w:val="BodyText"/>
      </w:pPr>
      <w:r w:rsidRPr="00AB73A8">
        <w:t>To demonstrate co</w:t>
      </w:r>
      <w:r w:rsidRPr="00AB73A8">
        <w:t>mpetency in this unit, a person must:</w:t>
      </w:r>
    </w:p>
    <w:p w:rsidR="00000000" w:rsidRPr="00AB73A8" w:rsidP="00AB73A8">
      <w:pPr>
        <w:pStyle w:val="ListBullet"/>
      </w:pPr>
      <w:r w:rsidRPr="00AB73A8">
        <w:t xml:space="preserve">call at least one auction to conclusion where the property is sold </w:t>
      </w:r>
    </w:p>
    <w:p w:rsidR="00000000" w:rsidRPr="00AB73A8" w:rsidP="00AB73A8">
      <w:pPr>
        <w:pStyle w:val="ListBullet"/>
      </w:pPr>
      <w:r w:rsidRPr="00AB73A8">
        <w:t>call at least one auction to conclusion where the property is passed in</w:t>
      </w:r>
    </w:p>
    <w:p w:rsidR="00000000" w:rsidRPr="00AB73A8" w:rsidP="00AB73A8">
      <w:pPr>
        <w:pStyle w:val="ListBullet"/>
      </w:pPr>
      <w:r w:rsidRPr="00AB73A8">
        <w:t>review auction performance and identify and document personal strengths and o</w:t>
      </w:r>
      <w:r w:rsidRPr="00AB73A8">
        <w:t>pportunities for improvement.</w:t>
      </w:r>
    </w:p>
    <w:p w:rsidR="00000000" w:rsidRPr="00AB73A8" w:rsidP="001413C3">
      <w:pPr>
        <w:pStyle w:val="BodyText"/>
      </w:pPr>
      <w:r w:rsidRPr="00AB73A8">
        <w:t>In doing this, the person must meet the performance criteria for this unit.</w:t>
      </w:r>
    </w:p>
    <w:p w:rsidR="00000000" w:rsidRPr="00AB73A8" w:rsidP="00AB73A8">
      <w:pPr>
        <w:pStyle w:val="Heading1"/>
      </w:pPr>
      <w:bookmarkStart w:id="3" w:name="O_1020825"/>
      <w:bookmarkEnd w:id="3"/>
      <w:r w:rsidRPr="00AB73A8">
        <w:t>Knowledge Evidence</w:t>
      </w:r>
    </w:p>
    <w:p w:rsidR="00000000" w:rsidRPr="00AB73A8" w:rsidP="001413C3">
      <w:pPr>
        <w:pStyle w:val="BodyText"/>
      </w:pPr>
      <w:r w:rsidRPr="00AB73A8">
        <w:t>To be competent in this unit, a person must demonstrate knowledge of:</w:t>
      </w:r>
    </w:p>
    <w:p w:rsidR="00000000" w:rsidRPr="00AB73A8" w:rsidP="00AB73A8">
      <w:pPr>
        <w:pStyle w:val="ListBullet"/>
      </w:pPr>
      <w:r w:rsidRPr="00AB73A8">
        <w:t>auctioneer role, responsibilities and risks</w:t>
      </w:r>
    </w:p>
    <w:p w:rsidR="00000000" w:rsidRPr="00AB73A8" w:rsidP="00AB73A8">
      <w:pPr>
        <w:pStyle w:val="ListBullet"/>
      </w:pPr>
      <w:r w:rsidRPr="00AB73A8">
        <w:t>reserve price</w:t>
      </w:r>
    </w:p>
    <w:p w:rsidR="00000000" w:rsidRPr="00AB73A8" w:rsidP="00AB73A8">
      <w:pPr>
        <w:pStyle w:val="ListBullet"/>
      </w:pPr>
      <w:r w:rsidRPr="00AB73A8">
        <w:t>auction documentation</w:t>
      </w:r>
    </w:p>
    <w:p w:rsidR="00000000" w:rsidRPr="00AB73A8" w:rsidP="00AB73A8">
      <w:pPr>
        <w:pStyle w:val="ListBullet"/>
      </w:pPr>
      <w:r w:rsidRPr="00AB73A8">
        <w:t>auction aids and equipment</w:t>
      </w:r>
    </w:p>
    <w:p w:rsidR="00000000" w:rsidRPr="00AB73A8" w:rsidP="00AB73A8">
      <w:pPr>
        <w:pStyle w:val="ListBullet"/>
      </w:pPr>
      <w:r w:rsidRPr="00AB73A8">
        <w:t>preparation of auction area, including access, identification of hazards, assessment of risks and implementation of risk controls</w:t>
      </w:r>
    </w:p>
    <w:p w:rsidR="00000000" w:rsidRPr="00AB73A8" w:rsidP="00AB73A8">
      <w:pPr>
        <w:pStyle w:val="ListBullet"/>
      </w:pPr>
      <w:r w:rsidRPr="00AB73A8">
        <w:t>auction rules and p</w:t>
      </w:r>
      <w:r w:rsidRPr="00AB73A8">
        <w:t>rescribed auction information in state or territory of operation</w:t>
      </w:r>
    </w:p>
    <w:p w:rsidR="00000000" w:rsidRPr="00AB73A8" w:rsidP="00AB73A8">
      <w:pPr>
        <w:pStyle w:val="ListBullet"/>
      </w:pPr>
      <w:r w:rsidRPr="00AB73A8">
        <w:t>auction process:</w:t>
      </w:r>
    </w:p>
    <w:p w:rsidR="00000000" w:rsidRPr="00AB73A8" w:rsidP="00AB73A8">
      <w:pPr>
        <w:pStyle w:val="ListBullet2"/>
      </w:pPr>
      <w:r w:rsidRPr="00AB73A8">
        <w:t>stating rules and conditions of auction according to state or territory legislation</w:t>
      </w:r>
    </w:p>
    <w:p w:rsidR="00000000" w:rsidRPr="00AB73A8" w:rsidP="00AB73A8">
      <w:pPr>
        <w:pStyle w:val="ListBullet2"/>
      </w:pPr>
      <w:r w:rsidRPr="00AB73A8">
        <w:t>managing the bidding process:</w:t>
      </w:r>
    </w:p>
    <w:p w:rsidR="00000000" w:rsidRPr="00AB73A8" w:rsidP="00AB73A8">
      <w:pPr>
        <w:pStyle w:val="ListBullet3"/>
      </w:pPr>
      <w:r w:rsidRPr="00AB73A8">
        <w:t xml:space="preserve">using appropriate bidding increments </w:t>
      </w:r>
    </w:p>
    <w:p w:rsidR="00000000" w:rsidRPr="00AB73A8" w:rsidP="00AB73A8">
      <w:pPr>
        <w:pStyle w:val="ListBullet3"/>
      </w:pPr>
      <w:r w:rsidRPr="00AB73A8">
        <w:t>maintaining bidding momentum</w:t>
      </w:r>
    </w:p>
    <w:p w:rsidR="00000000" w:rsidRPr="00AB73A8" w:rsidP="00AB73A8">
      <w:pPr>
        <w:pStyle w:val="ListBullet3"/>
      </w:pPr>
      <w:r w:rsidRPr="00AB73A8">
        <w:t xml:space="preserve">dealing with disruptive bidders </w:t>
      </w:r>
    </w:p>
    <w:p w:rsidR="00000000" w:rsidRPr="00AB73A8" w:rsidP="00AB73A8">
      <w:pPr>
        <w:pStyle w:val="ListBullet3"/>
      </w:pPr>
      <w:r w:rsidRPr="00AB73A8">
        <w:t>vendor and co-owner bids</w:t>
      </w:r>
    </w:p>
    <w:p w:rsidR="00000000" w:rsidRPr="00AB73A8" w:rsidP="00AB73A8">
      <w:pPr>
        <w:pStyle w:val="ListBullet3"/>
      </w:pPr>
      <w:r w:rsidRPr="00AB73A8">
        <w:t>collusive bidding practices</w:t>
      </w:r>
    </w:p>
    <w:p w:rsidR="00000000" w:rsidRPr="00AB73A8" w:rsidP="00AB73A8">
      <w:pPr>
        <w:pStyle w:val="ListBullet3"/>
      </w:pPr>
      <w:r w:rsidRPr="00AB73A8">
        <w:t>disputed bidding</w:t>
      </w:r>
    </w:p>
    <w:p w:rsidR="00000000" w:rsidRPr="00AB73A8" w:rsidP="00AB73A8">
      <w:pPr>
        <w:pStyle w:val="ListBullet3"/>
      </w:pPr>
      <w:r w:rsidRPr="00AB73A8">
        <w:t>bidding advances</w:t>
      </w:r>
    </w:p>
    <w:p w:rsidR="00000000" w:rsidRPr="00AB73A8" w:rsidP="00AB73A8">
      <w:pPr>
        <w:pStyle w:val="ListBullet3"/>
      </w:pPr>
      <w:r w:rsidRPr="00AB73A8">
        <w:t xml:space="preserve">retracting bids </w:t>
      </w:r>
    </w:p>
    <w:p w:rsidR="00000000" w:rsidRPr="00AB73A8" w:rsidP="00AB73A8">
      <w:pPr>
        <w:pStyle w:val="ListBullet3"/>
      </w:pPr>
      <w:r w:rsidRPr="00AB73A8">
        <w:t>restarting the bidding</w:t>
      </w:r>
    </w:p>
    <w:p w:rsidR="00000000" w:rsidRPr="00AB73A8" w:rsidP="00AB73A8">
      <w:pPr>
        <w:pStyle w:val="ListBullet2"/>
      </w:pPr>
      <w:r w:rsidRPr="00AB73A8">
        <w:t>confirming or renegotiating reserve with seller as appropriate</w:t>
      </w:r>
    </w:p>
    <w:p w:rsidR="00000000" w:rsidRPr="00AB73A8" w:rsidP="00AB73A8">
      <w:pPr>
        <w:pStyle w:val="ListBullet2"/>
      </w:pPr>
      <w:r w:rsidRPr="00AB73A8">
        <w:t>des</w:t>
      </w:r>
      <w:r w:rsidRPr="00AB73A8">
        <w:t>cribing property benefits</w:t>
      </w:r>
    </w:p>
    <w:p w:rsidR="00000000" w:rsidRPr="00AB73A8" w:rsidP="00AB73A8">
      <w:pPr>
        <w:pStyle w:val="ListBullet2"/>
      </w:pPr>
      <w:r w:rsidRPr="00AB73A8">
        <w:t>identifying key features of property and contract terms</w:t>
      </w:r>
    </w:p>
    <w:p w:rsidR="00000000" w:rsidRPr="00AB73A8" w:rsidP="00AB73A8">
      <w:pPr>
        <w:pStyle w:val="ListBullet2"/>
      </w:pPr>
      <w:r w:rsidRPr="00AB73A8">
        <w:t>knocking down or passing in property as appropriate</w:t>
      </w:r>
    </w:p>
    <w:p w:rsidR="00000000" w:rsidRPr="00AB73A8" w:rsidP="00AB73A8">
      <w:pPr>
        <w:pStyle w:val="ListBullet2"/>
      </w:pPr>
      <w:r w:rsidRPr="00AB73A8">
        <w:t>using vendor bidding as appropriate according to legislative requirements</w:t>
      </w:r>
    </w:p>
    <w:p w:rsidR="00000000" w:rsidRPr="00AB73A8" w:rsidP="00AB73A8">
      <w:pPr>
        <w:pStyle w:val="ListBullet"/>
      </w:pPr>
      <w:r w:rsidRPr="00AB73A8">
        <w:t>capacity of bidders, including impairment</w:t>
      </w:r>
    </w:p>
    <w:p w:rsidR="00000000" w:rsidRPr="00AB73A8" w:rsidP="00AB73A8">
      <w:pPr>
        <w:pStyle w:val="ListBullet"/>
      </w:pPr>
      <w:r w:rsidRPr="00AB73A8">
        <w:t xml:space="preserve">legislation related to sale of property by auction in the state or territory of operation </w:t>
      </w:r>
    </w:p>
    <w:p w:rsidR="00000000" w:rsidRPr="00AB73A8" w:rsidP="00AB73A8">
      <w:pPr>
        <w:pStyle w:val="ListBullet"/>
      </w:pPr>
      <w:r w:rsidRPr="00AB73A8">
        <w:t xml:space="preserve">penalties for breach of auction legislation </w:t>
      </w:r>
    </w:p>
    <w:p w:rsidR="00000000" w:rsidRPr="00AB73A8" w:rsidP="00AB73A8">
      <w:pPr>
        <w:pStyle w:val="ListBullet"/>
      </w:pPr>
      <w:r w:rsidRPr="00AB73A8">
        <w:t>property information:</w:t>
      </w:r>
    </w:p>
    <w:p w:rsidR="00000000" w:rsidRPr="00AB73A8" w:rsidP="00AB73A8">
      <w:pPr>
        <w:pStyle w:val="ListBullet2"/>
      </w:pPr>
      <w:r w:rsidRPr="00AB73A8">
        <w:t>general and local market indicators and conditions</w:t>
      </w:r>
    </w:p>
    <w:p w:rsidR="00000000" w:rsidRPr="00AB73A8" w:rsidP="00AB73A8">
      <w:pPr>
        <w:pStyle w:val="ListBullet2"/>
      </w:pPr>
      <w:r w:rsidRPr="00AB73A8">
        <w:t xml:space="preserve">land characteristics </w:t>
      </w:r>
    </w:p>
    <w:p w:rsidR="00000000" w:rsidRPr="00AB73A8" w:rsidP="00AB73A8">
      <w:pPr>
        <w:pStyle w:val="ListBullet2"/>
      </w:pPr>
      <w:r w:rsidRPr="00AB73A8">
        <w:t>council zoning and allow</w:t>
      </w:r>
      <w:r w:rsidRPr="00AB73A8">
        <w:t xml:space="preserve">able use </w:t>
      </w:r>
    </w:p>
    <w:p w:rsidR="00000000" w:rsidRPr="00AB73A8" w:rsidP="00AB73A8">
      <w:pPr>
        <w:pStyle w:val="ListBullet2"/>
      </w:pPr>
      <w:r w:rsidRPr="00AB73A8">
        <w:t>land titles and defects to title</w:t>
      </w:r>
    </w:p>
    <w:p w:rsidR="00000000" w:rsidRPr="00AB73A8" w:rsidP="00AB73A8">
      <w:pPr>
        <w:pStyle w:val="ListBullet2"/>
      </w:pPr>
      <w:r w:rsidRPr="00AB73A8">
        <w:t xml:space="preserve">specific environmental issues or features </w:t>
      </w:r>
    </w:p>
    <w:p w:rsidR="00000000" w:rsidRPr="00AB73A8" w:rsidP="00AB73A8">
      <w:pPr>
        <w:pStyle w:val="ListBullet2"/>
      </w:pPr>
      <w:r w:rsidRPr="00AB73A8">
        <w:t xml:space="preserve">specific requirements relating to the type of property </w:t>
      </w:r>
    </w:p>
    <w:p w:rsidR="00000000" w:rsidRPr="00AB73A8" w:rsidP="00AB73A8">
      <w:pPr>
        <w:pStyle w:val="ListBullet"/>
      </w:pPr>
      <w:r w:rsidRPr="00AB73A8">
        <w:t>risks to the general public, clients, agency and self from auction activities</w:t>
      </w:r>
    </w:p>
    <w:p w:rsidR="00000000" w:rsidRPr="00AB73A8" w:rsidP="00AB73A8">
      <w:pPr>
        <w:pStyle w:val="ListBullet"/>
      </w:pPr>
      <w:r w:rsidRPr="00AB73A8">
        <w:t>ethical practice in auctioneering:</w:t>
      </w:r>
    </w:p>
    <w:p w:rsidR="00000000" w:rsidRPr="00AB73A8" w:rsidP="00AB73A8">
      <w:pPr>
        <w:pStyle w:val="ListBullet"/>
      </w:pPr>
      <w:r w:rsidRPr="00AB73A8">
        <w:t>communication</w:t>
      </w:r>
    </w:p>
    <w:p w:rsidR="00000000" w:rsidRPr="00AB73A8" w:rsidP="00AB73A8">
      <w:pPr>
        <w:pStyle w:val="ListBullet"/>
      </w:pPr>
      <w:r w:rsidRPr="00AB73A8">
        <w:t>neutrality in the auction process</w:t>
      </w:r>
    </w:p>
    <w:p w:rsidR="00000000" w:rsidRPr="00AB73A8" w:rsidP="00AB73A8">
      <w:pPr>
        <w:pStyle w:val="ListBullet"/>
      </w:pPr>
      <w:r w:rsidRPr="00AB73A8">
        <w:t>ethical management of the bidding process</w:t>
      </w:r>
    </w:p>
    <w:p w:rsidR="00000000" w:rsidRPr="00AB73A8" w:rsidP="001413C3">
      <w:pPr>
        <w:pStyle w:val="BodyText"/>
      </w:pPr>
      <w:r w:rsidRPr="00AB73A8">
        <w:t>communication strategies for responding to client complaints.</w:t>
      </w:r>
    </w:p>
    <w:p w:rsidR="00000000" w:rsidRPr="00AB73A8" w:rsidP="00AB73A8">
      <w:pPr>
        <w:pStyle w:val="Heading1"/>
      </w:pPr>
      <w:bookmarkStart w:id="4" w:name="O_1020824"/>
      <w:bookmarkEnd w:id="4"/>
      <w:r w:rsidRPr="00AB73A8">
        <w:t>Assessment Conditions</w:t>
      </w:r>
    </w:p>
    <w:p w:rsidR="00000000" w:rsidRPr="00AB73A8" w:rsidP="001413C3">
      <w:pPr>
        <w:pStyle w:val="BodyText"/>
      </w:pPr>
      <w:r w:rsidRPr="00AB73A8">
        <w:t xml:space="preserve">Assessors must satisfy the requirements for assessors listed in the Standards for Registered Training Organisations. </w:t>
      </w:r>
    </w:p>
    <w:p w:rsidR="00000000" w:rsidRPr="00AB73A8" w:rsidP="001413C3">
      <w:pPr>
        <w:pStyle w:val="BodyText"/>
      </w:pPr>
      <w:r w:rsidRPr="00AB73A8">
        <w:t>Assessment must be conducted in the workplace or in a simulated workplace environment.</w:t>
      </w:r>
    </w:p>
    <w:p w:rsidR="00000000" w:rsidRPr="00AB73A8" w:rsidP="001413C3">
      <w:pPr>
        <w:pStyle w:val="BodyText"/>
      </w:pPr>
      <w:r w:rsidRPr="00AB73A8">
        <w:t>Assessors are responsible for ensuring that the per</w:t>
      </w:r>
      <w:r w:rsidRPr="00AB73A8">
        <w:t>son demonstrating competency has access to:</w:t>
      </w:r>
    </w:p>
    <w:p w:rsidR="00000000" w:rsidRPr="00AB73A8" w:rsidP="00AB73A8">
      <w:pPr>
        <w:pStyle w:val="ListBullet"/>
      </w:pPr>
      <w:r w:rsidRPr="00AB73A8">
        <w:t>auction scenarios, auction advice, auction plan</w:t>
      </w:r>
    </w:p>
    <w:p w:rsidR="00000000" w:rsidRPr="00AB73A8" w:rsidP="00AB73A8">
      <w:pPr>
        <w:pStyle w:val="ListBullet"/>
      </w:pPr>
      <w:r w:rsidRPr="00AB73A8">
        <w:t>bidders for property</w:t>
      </w:r>
    </w:p>
    <w:p w:rsidR="00000000" w:rsidRPr="00AB73A8" w:rsidP="00AB73A8">
      <w:pPr>
        <w:pStyle w:val="ListBullet"/>
      </w:pPr>
      <w:r w:rsidRPr="00AB73A8">
        <w:t xml:space="preserve">industry and agency ethical codes of conduct </w:t>
      </w:r>
    </w:p>
    <w:p w:rsidR="00000000" w:rsidRPr="00AB73A8" w:rsidP="00AB73A8">
      <w:pPr>
        <w:pStyle w:val="ListBullet"/>
      </w:pPr>
      <w:r w:rsidRPr="00AB73A8">
        <w:t xml:space="preserve">agency procedures, forms and documents </w:t>
      </w:r>
    </w:p>
    <w:p w:rsidR="00000000" w:rsidRPr="00AB73A8" w:rsidP="00AB73A8">
      <w:pPr>
        <w:pStyle w:val="ListBullet"/>
      </w:pPr>
      <w:r w:rsidRPr="00AB73A8">
        <w:t>legislation relating to sale of property by auction in t</w:t>
      </w:r>
      <w:r w:rsidRPr="00AB73A8">
        <w:t>he state or territory of operation.</w:t>
      </w:r>
    </w:p>
    <w:p w:rsidR="00000000" w:rsidRPr="00AB73A8" w:rsidP="00AB73A8">
      <w:pPr>
        <w:pStyle w:val="AllowPageBreak"/>
      </w:pPr>
    </w:p>
    <w:p w:rsidR="00000000" w:rsidRPr="00AB73A8" w:rsidP="00AB73A8">
      <w:pPr>
        <w:pStyle w:val="Heading1"/>
      </w:pPr>
      <w:bookmarkStart w:id="5" w:name="O_1020822"/>
      <w:bookmarkEnd w:id="5"/>
      <w:r w:rsidRPr="00AB73A8">
        <w:t>Links</w:t>
      </w:r>
    </w:p>
    <w:p w:rsidR="00000000" w:rsidRPr="00AB73A8" w:rsidP="001413C3">
      <w:pPr>
        <w:pStyle w:val="BodyText"/>
      </w:pPr>
      <w:r w:rsidRPr="00AB73A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375B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B73A8" w:rsidP="00AB73A8"/>
    <w:sectPr w:rsidSect="00AB73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A8" w:rsidRPr="001413C3" w:rsidP="001413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C3" w:rsidP="00AB73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3C3" w:rsidP="00AB73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413C3" w:rsidP="00AB73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3A8" w:rsidRPr="001413C3" w:rsidP="001413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3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3C3" w:rsidRPr="002D2AF8" w:rsidP="00AB73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CPPREP4162 Conduct and complete sale by auction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413C3" w:rsidP="00AB73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52BD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B49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AA9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3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3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3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3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3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3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3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3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3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3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3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3A8"/>
  </w:style>
  <w:style w:type="character" w:customStyle="1" w:styleId="Heading1Char">
    <w:name w:val="Heading 1 Char"/>
    <w:basedOn w:val="DefaultParagraphFont"/>
    <w:link w:val="Heading1"/>
    <w:rsid w:val="00AB73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3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3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3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73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73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3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73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73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3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3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3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3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3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3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3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3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3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3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3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3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3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3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3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3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3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73A8"/>
    <w:rPr>
      <w:b/>
      <w:spacing w:val="0"/>
    </w:rPr>
  </w:style>
  <w:style w:type="paragraph" w:customStyle="1" w:styleId="SuperTitle">
    <w:name w:val="SuperTitle"/>
    <w:basedOn w:val="Title"/>
    <w:rsid w:val="00AB73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3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3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73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3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3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3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3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3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3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3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3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3A8"/>
    <w:rPr>
      <w:i/>
    </w:rPr>
  </w:style>
  <w:style w:type="paragraph" w:styleId="Caption">
    <w:name w:val="caption"/>
    <w:basedOn w:val="BodyText"/>
    <w:next w:val="Normal"/>
    <w:qFormat/>
    <w:rsid w:val="00AB73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3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3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3A8"/>
  </w:style>
  <w:style w:type="paragraph" w:styleId="TableofFigures">
    <w:name w:val="table of figures"/>
    <w:basedOn w:val="Normal"/>
    <w:next w:val="Normal"/>
    <w:semiHidden/>
    <w:rsid w:val="00AB73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3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73A8"/>
    <w:rPr>
      <w:rFonts w:ascii="Wingdings" w:hAnsi="Wingdings"/>
    </w:rPr>
  </w:style>
  <w:style w:type="paragraph" w:customStyle="1" w:styleId="TableHeading">
    <w:name w:val="Table Heading"/>
    <w:basedOn w:val="HeadingBase"/>
    <w:rsid w:val="00AB73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3A8"/>
    <w:rPr>
      <w:color w:val="0033CC"/>
      <w:u w:val="none"/>
    </w:rPr>
  </w:style>
  <w:style w:type="paragraph" w:customStyle="1" w:styleId="BodyTextRight">
    <w:name w:val="Body Text Right"/>
    <w:basedOn w:val="BodyText"/>
    <w:rsid w:val="00AB73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3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3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3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3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3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3A8"/>
    <w:rPr>
      <w:sz w:val="32"/>
    </w:rPr>
  </w:style>
  <w:style w:type="paragraph" w:customStyle="1" w:styleId="HeadingProcedure">
    <w:name w:val="Heading Procedure"/>
    <w:basedOn w:val="HeadingBase"/>
    <w:next w:val="Normal"/>
    <w:rsid w:val="00AB73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3A8"/>
    <w:pPr>
      <w:spacing w:before="60" w:after="60"/>
    </w:pPr>
  </w:style>
  <w:style w:type="paragraph" w:styleId="ListContinue">
    <w:name w:val="List Continue"/>
    <w:basedOn w:val="List"/>
    <w:rsid w:val="00AB73A8"/>
    <w:pPr>
      <w:ind w:firstLine="0"/>
    </w:pPr>
  </w:style>
  <w:style w:type="paragraph" w:customStyle="1" w:styleId="ListNote">
    <w:name w:val="List Note"/>
    <w:basedOn w:val="List"/>
    <w:rsid w:val="00AB73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3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3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3A8"/>
    <w:rPr>
      <w:rFonts w:ascii="Courier New" w:hAnsi="Courier New"/>
    </w:rPr>
  </w:style>
  <w:style w:type="paragraph" w:customStyle="1" w:styleId="NoteBullet">
    <w:name w:val="Note Bullet"/>
    <w:basedOn w:val="Note"/>
    <w:rsid w:val="00AB73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3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3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3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3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73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3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3A8"/>
    <w:rPr>
      <w:b/>
      <w:smallCaps/>
    </w:rPr>
  </w:style>
  <w:style w:type="paragraph" w:customStyle="1" w:styleId="TableListNumber">
    <w:name w:val="Table List Number"/>
    <w:basedOn w:val="ListNumber"/>
    <w:rsid w:val="00AB73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3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3A8"/>
    <w:pPr>
      <w:numPr>
        <w:numId w:val="10"/>
      </w:numPr>
    </w:pPr>
  </w:style>
  <w:style w:type="paragraph" w:customStyle="1" w:styleId="ListAlpha2">
    <w:name w:val="List Alpha 2"/>
    <w:basedOn w:val="List2"/>
    <w:rsid w:val="00AB73A8"/>
    <w:pPr>
      <w:numPr>
        <w:numId w:val="9"/>
      </w:numPr>
    </w:pPr>
  </w:style>
  <w:style w:type="paragraph" w:styleId="List2">
    <w:name w:val="List 2"/>
    <w:basedOn w:val="BodyText"/>
    <w:rsid w:val="00AB73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3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3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3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73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73A8"/>
    <w:pPr>
      <w:numPr>
        <w:numId w:val="5"/>
      </w:numPr>
    </w:pPr>
  </w:style>
  <w:style w:type="paragraph" w:styleId="ListContinue2">
    <w:name w:val="List Continue 2"/>
    <w:basedOn w:val="List2"/>
    <w:rsid w:val="00AB73A8"/>
    <w:pPr>
      <w:ind w:firstLine="0"/>
    </w:pPr>
  </w:style>
  <w:style w:type="paragraph" w:styleId="ListContinue3">
    <w:name w:val="List Continue 3"/>
    <w:basedOn w:val="List3"/>
    <w:rsid w:val="00AB73A8"/>
    <w:pPr>
      <w:ind w:left="1021" w:firstLine="0"/>
    </w:pPr>
  </w:style>
  <w:style w:type="paragraph" w:styleId="ListContinue4">
    <w:name w:val="List Continue 4"/>
    <w:basedOn w:val="List4"/>
    <w:rsid w:val="00AB73A8"/>
    <w:pPr>
      <w:ind w:firstLine="0"/>
    </w:pPr>
  </w:style>
  <w:style w:type="paragraph" w:styleId="ListContinue5">
    <w:name w:val="List Continue 5"/>
    <w:basedOn w:val="List5"/>
    <w:rsid w:val="00AB73A8"/>
    <w:pPr>
      <w:ind w:firstLine="0"/>
    </w:pPr>
  </w:style>
  <w:style w:type="paragraph" w:styleId="ListNumber3">
    <w:name w:val="List Number 3"/>
    <w:basedOn w:val="List3"/>
    <w:rsid w:val="00AB73A8"/>
    <w:pPr>
      <w:numPr>
        <w:numId w:val="6"/>
      </w:numPr>
    </w:pPr>
  </w:style>
  <w:style w:type="paragraph" w:styleId="ListNumber4">
    <w:name w:val="List Number 4"/>
    <w:basedOn w:val="List4"/>
    <w:rsid w:val="00AB73A8"/>
    <w:pPr>
      <w:numPr>
        <w:numId w:val="7"/>
      </w:numPr>
    </w:pPr>
  </w:style>
  <w:style w:type="paragraph" w:styleId="ListNumber5">
    <w:name w:val="List Number 5"/>
    <w:basedOn w:val="List5"/>
    <w:rsid w:val="00AB73A8"/>
    <w:pPr>
      <w:numPr>
        <w:numId w:val="8"/>
      </w:numPr>
    </w:pPr>
  </w:style>
  <w:style w:type="paragraph" w:styleId="BlockText">
    <w:name w:val="Block Text"/>
    <w:basedOn w:val="Normal"/>
    <w:rsid w:val="00AB73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3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3A8"/>
    <w:rPr>
      <w:sz w:val="16"/>
      <w:vertAlign w:val="superscript"/>
    </w:rPr>
  </w:style>
  <w:style w:type="character" w:customStyle="1" w:styleId="Symbols">
    <w:name w:val="Symbols"/>
    <w:basedOn w:val="DefaultParagraphFont"/>
    <w:rsid w:val="00AB73A8"/>
    <w:rPr>
      <w:rFonts w:ascii="Symbol" w:hAnsi="Symbol"/>
    </w:rPr>
  </w:style>
  <w:style w:type="character" w:customStyle="1" w:styleId="MenuOptions">
    <w:name w:val="Menu Options"/>
    <w:basedOn w:val="DefaultParagraphFont"/>
    <w:rsid w:val="00AB73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3A8"/>
    <w:rPr>
      <w:b/>
    </w:rPr>
  </w:style>
  <w:style w:type="character" w:customStyle="1" w:styleId="Underlined">
    <w:name w:val="Underlined"/>
    <w:basedOn w:val="DefaultParagraphFont"/>
    <w:rsid w:val="00AB73A8"/>
    <w:rPr>
      <w:u w:val="single"/>
    </w:rPr>
  </w:style>
  <w:style w:type="paragraph" w:customStyle="1" w:styleId="TableBodyTextRight">
    <w:name w:val="Table Body Text Right"/>
    <w:basedOn w:val="TableBodyText"/>
    <w:rsid w:val="00AB73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3A8"/>
    <w:rPr>
      <w:sz w:val="18"/>
    </w:rPr>
  </w:style>
  <w:style w:type="paragraph" w:customStyle="1" w:styleId="BodySmallRight">
    <w:name w:val="Body Small Right"/>
    <w:basedOn w:val="BodyTextRight"/>
    <w:rsid w:val="00AB73A8"/>
    <w:rPr>
      <w:sz w:val="18"/>
      <w:szCs w:val="18"/>
    </w:rPr>
  </w:style>
  <w:style w:type="paragraph" w:customStyle="1" w:styleId="MarginEdition">
    <w:name w:val="Margin Edition"/>
    <w:basedOn w:val="MarginNote"/>
    <w:rsid w:val="00AB73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3A8"/>
    <w:rPr>
      <w:sz w:val="2"/>
      <w:szCs w:val="2"/>
    </w:rPr>
  </w:style>
  <w:style w:type="character" w:customStyle="1" w:styleId="Small">
    <w:name w:val="Small"/>
    <w:basedOn w:val="DefaultParagraphFont"/>
    <w:rsid w:val="00AB73A8"/>
    <w:rPr>
      <w:sz w:val="16"/>
    </w:rPr>
  </w:style>
  <w:style w:type="paragraph" w:customStyle="1" w:styleId="WideTable">
    <w:name w:val="Wide Table"/>
    <w:basedOn w:val="Normal"/>
    <w:rsid w:val="00AB73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3A8"/>
  </w:style>
  <w:style w:type="paragraph" w:styleId="Quote">
    <w:name w:val="Quote"/>
    <w:basedOn w:val="Heading1"/>
    <w:link w:val="QuoteChar"/>
    <w:qFormat/>
    <w:rsid w:val="00AB73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3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3A8"/>
    <w:pPr>
      <w:pageBreakBefore/>
    </w:pPr>
  </w:style>
  <w:style w:type="paragraph" w:customStyle="1" w:styleId="Border">
    <w:name w:val="Border"/>
    <w:basedOn w:val="Normal"/>
    <w:qFormat/>
    <w:rsid w:val="00AB73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3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3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3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3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3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3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3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3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3A8"/>
    <w:rPr>
      <w:u w:val="single"/>
    </w:rPr>
  </w:style>
  <w:style w:type="character" w:customStyle="1" w:styleId="BoldandItalics">
    <w:name w:val="Bold and Italics"/>
    <w:qFormat/>
    <w:rsid w:val="00AB73A8"/>
    <w:rPr>
      <w:b/>
      <w:i/>
      <w:u w:val="none"/>
    </w:rPr>
  </w:style>
  <w:style w:type="paragraph" w:styleId="BalloonText">
    <w:name w:val="Balloon Text"/>
    <w:basedOn w:val="Normal"/>
    <w:link w:val="BalloonTextChar"/>
    <w:rsid w:val="00AB7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3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3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3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3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3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3A8"/>
    <w:pPr>
      <w:spacing w:before="0" w:after="0"/>
    </w:pPr>
  </w:style>
  <w:style w:type="paragraph" w:customStyle="1" w:styleId="BodyTextBold">
    <w:name w:val="Body Text Bold"/>
    <w:basedOn w:val="BodyText"/>
    <w:qFormat/>
    <w:rsid w:val="00AB73A8"/>
    <w:rPr>
      <w:b/>
    </w:rPr>
  </w:style>
  <w:style w:type="character" w:styleId="Hyperlink">
    <w:name w:val="Hyperlink"/>
    <w:basedOn w:val="DefaultParagraphFont"/>
    <w:uiPriority w:val="99"/>
    <w:unhideWhenUsed/>
    <w:rsid w:val="00141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3063</Characters>
  <Application>Microsoft Office Word</Application>
  <DocSecurity>0</DocSecurity>
  <Lines>85</Lines>
  <Paragraphs>78</Paragraphs>
  <ScaleCrop>false</ScaleCrop>
  <Company>Author-it Software Corporation Ltd.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CPPREP4162 Conduct and complete sale by auction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