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889" w:rsidP="00457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CPPREP4125 Transact in trust accounts</w:t>
      </w:r>
      <w:r>
        <w:fldChar w:fldCharType="end"/>
      </w:r>
    </w:p>
    <w:p w:rsidR="00457889" w:rsidP="00457889">
      <w:pPr>
        <w:pStyle w:val="Version"/>
        <w:sectPr w:rsidSect="00333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7E0" w:rsidP="003337E0">
      <w:pPr>
        <w:pStyle w:val="SuperHeading"/>
      </w:pPr>
      <w:r w:rsidRPr="003337E0">
        <w:t>CPPREP4125 Transact in trust accounts</w:t>
      </w:r>
    </w:p>
    <w:p w:rsidR="00000000" w:rsidRPr="003337E0" w:rsidP="003337E0">
      <w:pPr>
        <w:pStyle w:val="Heading1"/>
      </w:pPr>
      <w:bookmarkStart w:id="1" w:name="O_1020759"/>
      <w:bookmarkEnd w:id="1"/>
      <w:r w:rsidRPr="003337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7E0" w:rsidP="003337E0">
            <w:pPr>
              <w:pStyle w:val="BodyText"/>
            </w:pPr>
            <w:r w:rsidRPr="003337E0">
              <w:t>This version first released with CPP Property Services Training Package Release 8.0.</w:t>
            </w:r>
          </w:p>
          <w:p w:rsidR="00000000" w:rsidRPr="003337E0" w:rsidP="003337E0">
            <w:pPr>
              <w:pStyle w:val="BodyText"/>
            </w:pPr>
            <w:r w:rsidRPr="003337E0">
              <w:t>New unit of competency.</w:t>
            </w:r>
          </w:p>
        </w:tc>
      </w:tr>
    </w:tbl>
    <w:p w:rsidR="00000000" w:rsidRPr="003337E0" w:rsidP="003337E0">
      <w:pPr>
        <w:pStyle w:val="BodyText"/>
      </w:pPr>
    </w:p>
    <w:p w:rsidR="00000000" w:rsidRPr="003337E0" w:rsidP="003337E0">
      <w:pPr>
        <w:pStyle w:val="AllowPageBreak"/>
      </w:pPr>
    </w:p>
    <w:p w:rsidR="00000000" w:rsidRPr="003337E0" w:rsidP="003337E0">
      <w:pPr>
        <w:pStyle w:val="Heading1"/>
      </w:pPr>
      <w:bookmarkStart w:id="2" w:name="O_1020765"/>
      <w:bookmarkEnd w:id="2"/>
      <w:r w:rsidRPr="003337E0">
        <w:t>Application</w:t>
      </w:r>
    </w:p>
    <w:p w:rsidR="00000000" w:rsidRPr="003337E0" w:rsidP="00457889">
      <w:pPr>
        <w:pStyle w:val="BodyText"/>
      </w:pPr>
      <w:r w:rsidRPr="003337E0">
        <w:t>This unit specifies the skills and knowledge required to conduct transactions in re</w:t>
      </w:r>
      <w:r w:rsidRPr="003337E0">
        <w:t>al estate trust accounts.</w:t>
      </w:r>
    </w:p>
    <w:p w:rsidR="00000000" w:rsidRPr="003337E0" w:rsidP="00457889">
      <w:pPr>
        <w:pStyle w:val="BodyText"/>
      </w:pPr>
      <w:r w:rsidRPr="003337E0">
        <w:t>It includes identifying the purpose and types of property trust accounts, applying agency controls to transactions in property trust accounts for specific purposes, balancing, reconciling and reporting on trust account transaction</w:t>
      </w:r>
      <w:r w:rsidRPr="003337E0">
        <w:t>s, and maintaining records of trust account transactions.</w:t>
      </w:r>
    </w:p>
    <w:p w:rsidR="00000000" w:rsidRPr="003337E0" w:rsidP="00457889">
      <w:pPr>
        <w:pStyle w:val="BodyText"/>
      </w:pPr>
      <w:r w:rsidRPr="003337E0">
        <w:t xml:space="preserve">The unit applies to people currently working in or seeking to work in real estate in a capacity that requires them to transact in trust accounts. </w:t>
      </w:r>
    </w:p>
    <w:p w:rsidR="00000000" w:rsidRPr="003337E0" w:rsidP="00457889">
      <w:pPr>
        <w:pStyle w:val="BodyText"/>
      </w:pPr>
      <w:r w:rsidRPr="003337E0">
        <w:t>State or territory licensing requirements may apply</w:t>
      </w:r>
      <w:r w:rsidRPr="003337E0">
        <w:t xml:space="preserve"> to this unit.</w:t>
      </w:r>
    </w:p>
    <w:p w:rsidR="00000000" w:rsidRPr="003337E0" w:rsidP="003337E0">
      <w:pPr>
        <w:pStyle w:val="Heading1"/>
      </w:pPr>
      <w:bookmarkStart w:id="3" w:name="O_1020764"/>
      <w:bookmarkEnd w:id="3"/>
      <w:r w:rsidRPr="003337E0">
        <w:t>Pre-requisite Unit</w:t>
      </w:r>
    </w:p>
    <w:p w:rsidR="00000000" w:rsidRPr="003337E0" w:rsidP="00457889">
      <w:pPr>
        <w:pStyle w:val="BodyText"/>
      </w:pPr>
      <w:r w:rsidRPr="003337E0">
        <w:t>Nil</w:t>
      </w:r>
    </w:p>
    <w:p w:rsidR="00000000" w:rsidRPr="003337E0" w:rsidP="003337E0">
      <w:pPr>
        <w:pStyle w:val="Heading1"/>
      </w:pPr>
      <w:bookmarkStart w:id="4" w:name="O_1020763"/>
      <w:bookmarkEnd w:id="4"/>
      <w:r w:rsidRPr="003337E0">
        <w:t>Unit Sector</w:t>
      </w:r>
    </w:p>
    <w:p w:rsidR="00000000" w:rsidRPr="003337E0" w:rsidP="00457889">
      <w:pPr>
        <w:pStyle w:val="BodyText"/>
      </w:pPr>
      <w:r w:rsidRPr="003337E0">
        <w:t>Real estate</w:t>
      </w:r>
    </w:p>
    <w:p w:rsidR="00000000" w:rsidRPr="003337E0" w:rsidP="003337E0">
      <w:pPr>
        <w:pStyle w:val="Heading1"/>
      </w:pPr>
      <w:bookmarkStart w:id="5" w:name="O_1020762"/>
      <w:bookmarkEnd w:id="5"/>
      <w:r w:rsidRPr="003337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Performance criteria describe the performance needed to demonstrate achievement of the element.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Adhere to legislative requirements.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 xml:space="preserve">Outline the types and purpose of real estate trust accounts. 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Outline the personal obligations, responsibilities and legislative requirements for administering real estate trust accounts.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Process deposits.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Receive trust account payments.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Provide receipts for payments received.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Prepare banking documentation to deposit trust moneys.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Record receipts in trust account cash journal and trust account ledger.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Process payment, fees and charges.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Receive and validate requests for payment.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Confirm authorisation for payment.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Check trust account ledger to confirm adequate funds in trust account before processing payment.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Process payments from trust account.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Process payment advice.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Record payment from trust account in trust account cash journal and trust account ledger.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Maintain and protect trust account records.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Balance and reconcile trust account.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Apply agency contingency procedu</w:t>
            </w:r>
            <w:r w:rsidRPr="003337E0">
              <w:t>res to respond to discrepancies identified with trust account.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Prepare records and statements of trust account transactions.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Identify and explain the process for unclaimed trust money.</w:t>
            </w:r>
          </w:p>
        </w:tc>
      </w:tr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7E0" w:rsidP="003337E0">
            <w:pPr>
              <w:pStyle w:val="BodyText"/>
            </w:pPr>
            <w:r w:rsidRPr="003337E0">
              <w:t>Maintain security of trust account records.</w:t>
            </w:r>
          </w:p>
        </w:tc>
      </w:tr>
    </w:tbl>
    <w:p w:rsidR="00000000" w:rsidRPr="003337E0" w:rsidP="003337E0">
      <w:pPr>
        <w:pStyle w:val="BodyText"/>
      </w:pPr>
    </w:p>
    <w:p w:rsidR="00000000" w:rsidRPr="003337E0" w:rsidP="003337E0">
      <w:pPr>
        <w:pStyle w:val="AllowPageBreak"/>
      </w:pPr>
    </w:p>
    <w:p w:rsidR="00000000" w:rsidRPr="003337E0" w:rsidP="003337E0">
      <w:pPr>
        <w:pStyle w:val="Heading1"/>
      </w:pPr>
      <w:bookmarkStart w:id="6" w:name="O_1020761"/>
      <w:bookmarkEnd w:id="6"/>
      <w:r w:rsidRPr="003337E0">
        <w:t>Foundation Skills</w:t>
      </w:r>
    </w:p>
    <w:p w:rsidR="00000000" w:rsidRPr="003337E0" w:rsidP="00457889">
      <w:pPr>
        <w:pStyle w:val="BodyText"/>
      </w:pPr>
      <w:r w:rsidRPr="003337E0">
        <w:t xml:space="preserve">This section describes the language, literacy, numeracy and employment skills essential to performance in this unit but not explicit in the performance criteria: </w:t>
      </w:r>
    </w:p>
    <w:p w:rsidR="00000000" w:rsidRPr="003337E0" w:rsidP="003337E0">
      <w:pPr>
        <w:pStyle w:val="ListBullet"/>
      </w:pPr>
      <w:r w:rsidRPr="003337E0">
        <w:t>technology skills to access and use computerised systems</w:t>
      </w:r>
      <w:r w:rsidRPr="003337E0">
        <w:t xml:space="preserve"> for trust accounts, and access information via the internet, databases and business records management systems</w:t>
      </w:r>
    </w:p>
    <w:p w:rsidR="00000000" w:rsidRPr="003337E0" w:rsidP="003337E0">
      <w:pPr>
        <w:pStyle w:val="ListBullet"/>
      </w:pPr>
      <w:r w:rsidRPr="003337E0">
        <w:t>numeracy skills to estimate, calculate, validate, balance, reconcile and report on trust account transactions.</w:t>
      </w:r>
    </w:p>
    <w:p w:rsidR="00000000" w:rsidRPr="003337E0" w:rsidP="003337E0">
      <w:pPr>
        <w:pStyle w:val="AllowPageBreak"/>
      </w:pPr>
    </w:p>
    <w:p w:rsidR="00000000" w:rsidRPr="003337E0" w:rsidP="003337E0">
      <w:pPr>
        <w:pStyle w:val="Heading1"/>
      </w:pPr>
      <w:bookmarkStart w:id="7" w:name="O_1020760"/>
      <w:bookmarkEnd w:id="7"/>
      <w:r w:rsidRPr="003337E0">
        <w:t>Unit Mapping Information</w:t>
      </w:r>
    </w:p>
    <w:p w:rsidR="00000000" w:rsidRPr="003337E0" w:rsidP="00457889">
      <w:pPr>
        <w:pStyle w:val="List"/>
      </w:pPr>
      <w:r w:rsidRPr="003337E0">
        <w:t>No equivalent unit.</w:t>
      </w:r>
    </w:p>
    <w:p w:rsidR="00000000" w:rsidRPr="003337E0" w:rsidP="00457889">
      <w:pPr>
        <w:pStyle w:val="List"/>
      </w:pPr>
      <w:r w:rsidRPr="003337E0">
        <w:t>New unit of competency.</w:t>
      </w:r>
    </w:p>
    <w:p w:rsidR="00000000" w:rsidRPr="003337E0" w:rsidP="003337E0">
      <w:pPr>
        <w:pStyle w:val="AllowPageBreak"/>
      </w:pPr>
    </w:p>
    <w:p w:rsidR="00000000" w:rsidRPr="003337E0" w:rsidP="003337E0">
      <w:pPr>
        <w:pStyle w:val="Heading1"/>
      </w:pPr>
      <w:bookmarkStart w:id="8" w:name="O_1020753"/>
      <w:bookmarkEnd w:id="8"/>
      <w:r w:rsidRPr="003337E0">
        <w:t>Links</w:t>
      </w:r>
    </w:p>
    <w:p w:rsidR="00000000" w:rsidRPr="003337E0" w:rsidP="00457889">
      <w:pPr>
        <w:pStyle w:val="BodyText"/>
      </w:pPr>
      <w:r w:rsidRPr="003337E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E56E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337E0" w:rsidP="00457889">
      <w:pPr>
        <w:pStyle w:val="BodyText"/>
        <w:sectPr w:rsidSect="003337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37E0" w:rsidP="003337E0">
      <w:pPr>
        <w:pStyle w:val="SuperHeading"/>
      </w:pPr>
      <w:r w:rsidRPr="003337E0">
        <w:t>Assessment Requirements for CPPREP4125 Transact in trust accounts</w:t>
      </w:r>
    </w:p>
    <w:p w:rsidR="00000000" w:rsidRPr="003337E0" w:rsidP="003337E0">
      <w:pPr>
        <w:pStyle w:val="Heading1"/>
      </w:pPr>
      <w:bookmarkStart w:id="9" w:name="O_1020755"/>
      <w:bookmarkEnd w:id="9"/>
      <w:r w:rsidRPr="003337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33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7E0">
            <w:pPr>
              <w:pStyle w:val="BodyText"/>
              <w:rPr>
                <w:lang w:val="en-NZ"/>
              </w:rPr>
            </w:pPr>
            <w:r w:rsidRPr="003337E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7E0" w:rsidP="003337E0">
            <w:pPr>
              <w:pStyle w:val="BodyText"/>
            </w:pPr>
            <w:r w:rsidRPr="003337E0">
              <w:t>This version first released with CPP Property Services Training Package Release 8.0.</w:t>
            </w:r>
          </w:p>
          <w:p w:rsidR="00000000" w:rsidRPr="003337E0" w:rsidP="003337E0">
            <w:pPr>
              <w:pStyle w:val="BodyText"/>
            </w:pPr>
            <w:r w:rsidRPr="003337E0">
              <w:t>New u</w:t>
            </w:r>
            <w:r w:rsidRPr="003337E0">
              <w:t>nit of competency.</w:t>
            </w:r>
          </w:p>
        </w:tc>
      </w:tr>
    </w:tbl>
    <w:p w:rsidR="00000000" w:rsidRPr="003337E0" w:rsidP="003337E0">
      <w:pPr>
        <w:pStyle w:val="BodyText"/>
      </w:pPr>
    </w:p>
    <w:p w:rsidR="00000000" w:rsidRPr="003337E0" w:rsidP="003337E0">
      <w:pPr>
        <w:pStyle w:val="AllowPageBreak"/>
      </w:pPr>
    </w:p>
    <w:p w:rsidR="00000000" w:rsidRPr="003337E0" w:rsidP="003337E0">
      <w:pPr>
        <w:pStyle w:val="Heading1"/>
      </w:pPr>
      <w:bookmarkStart w:id="10" w:name="O_1020758"/>
      <w:bookmarkEnd w:id="10"/>
      <w:r w:rsidRPr="003337E0">
        <w:t>Performance Evidence</w:t>
      </w:r>
    </w:p>
    <w:p w:rsidR="00000000" w:rsidRPr="003337E0" w:rsidP="00457889">
      <w:pPr>
        <w:pStyle w:val="BodyText"/>
      </w:pPr>
      <w:r w:rsidRPr="003337E0">
        <w:t>To demonstrate competency in this unit, a person must:</w:t>
      </w:r>
    </w:p>
    <w:p w:rsidR="00000000" w:rsidRPr="003337E0" w:rsidP="003337E0">
      <w:pPr>
        <w:pStyle w:val="ListBullet"/>
      </w:pPr>
      <w:r w:rsidRPr="003337E0">
        <w:t>conduct transactions in at least one trust account and:</w:t>
      </w:r>
    </w:p>
    <w:p w:rsidR="00000000" w:rsidRPr="003337E0" w:rsidP="003337E0">
      <w:pPr>
        <w:pStyle w:val="ListBullet2"/>
      </w:pPr>
      <w:r w:rsidRPr="003337E0">
        <w:t>receive, receipt and prepare deposits for trust money on three separate occasions</w:t>
      </w:r>
    </w:p>
    <w:p w:rsidR="00000000" w:rsidRPr="003337E0" w:rsidP="003337E0">
      <w:pPr>
        <w:pStyle w:val="ListBullet2"/>
      </w:pPr>
      <w:r w:rsidRPr="003337E0">
        <w:t>prepare payments from the trust account for authorisation on three separate occasions</w:t>
      </w:r>
    </w:p>
    <w:p w:rsidR="00000000" w:rsidRPr="003337E0" w:rsidP="003337E0">
      <w:pPr>
        <w:pStyle w:val="ListBullet"/>
      </w:pPr>
      <w:r w:rsidRPr="003337E0">
        <w:t>complete at least one entry in a cash receipt journal, cash payments journal and transfer journal</w:t>
      </w:r>
    </w:p>
    <w:p w:rsidR="00000000" w:rsidRPr="003337E0" w:rsidP="003337E0">
      <w:pPr>
        <w:pStyle w:val="ListBullet"/>
      </w:pPr>
      <w:r w:rsidRPr="003337E0">
        <w:t>complete three reconciliations for trust accounts and:</w:t>
      </w:r>
    </w:p>
    <w:p w:rsidR="00000000" w:rsidRPr="003337E0" w:rsidP="003337E0">
      <w:pPr>
        <w:pStyle w:val="ListBullet2"/>
      </w:pPr>
      <w:r w:rsidRPr="003337E0">
        <w:t>apply standard contingency procedures to resolve a discrepancy in the trust account.</w:t>
      </w:r>
    </w:p>
    <w:p w:rsidR="00000000" w:rsidRPr="003337E0" w:rsidP="00457889">
      <w:pPr>
        <w:pStyle w:val="BodyText"/>
      </w:pPr>
      <w:r w:rsidRPr="003337E0">
        <w:t>In doing this, the person must meet the performance criteria for this unit.</w:t>
      </w:r>
    </w:p>
    <w:p w:rsidR="00000000" w:rsidRPr="003337E0" w:rsidP="003337E0">
      <w:pPr>
        <w:pStyle w:val="Heading1"/>
      </w:pPr>
      <w:bookmarkStart w:id="11" w:name="O_1020757"/>
      <w:bookmarkEnd w:id="11"/>
      <w:r w:rsidRPr="003337E0">
        <w:t>Knowledge Evidence</w:t>
      </w:r>
    </w:p>
    <w:p w:rsidR="00000000" w:rsidRPr="003337E0" w:rsidP="00457889">
      <w:pPr>
        <w:pStyle w:val="BodyText"/>
      </w:pPr>
      <w:r w:rsidRPr="003337E0">
        <w:t>To be competent in this unit, a person must demonstrate k</w:t>
      </w:r>
      <w:r w:rsidRPr="003337E0">
        <w:t>nowledge of:</w:t>
      </w:r>
    </w:p>
    <w:p w:rsidR="00000000" w:rsidRPr="003337E0" w:rsidP="003337E0">
      <w:pPr>
        <w:pStyle w:val="ListBullet"/>
      </w:pPr>
      <w:r w:rsidRPr="003337E0">
        <w:t xml:space="preserve">purpose and types of real estate trust accounts </w:t>
      </w:r>
    </w:p>
    <w:p w:rsidR="00000000" w:rsidRPr="003337E0" w:rsidP="003337E0">
      <w:pPr>
        <w:pStyle w:val="ListBullet"/>
      </w:pPr>
      <w:r w:rsidRPr="003337E0">
        <w:t>legal and regulatory framework for real estate trust accounts in the state or territory of operation</w:t>
      </w:r>
    </w:p>
    <w:p w:rsidR="00000000" w:rsidRPr="003337E0" w:rsidP="003337E0">
      <w:pPr>
        <w:pStyle w:val="ListBullet"/>
      </w:pPr>
      <w:r w:rsidRPr="003337E0">
        <w:t>consequences for agency brand and legal penalties for breaches of trust account practices or</w:t>
      </w:r>
      <w:r w:rsidRPr="003337E0">
        <w:t xml:space="preserve"> fraudulent activities in the state or territory of operation</w:t>
      </w:r>
    </w:p>
    <w:p w:rsidR="00000000" w:rsidRPr="003337E0" w:rsidP="003337E0">
      <w:pPr>
        <w:pStyle w:val="ListBullet"/>
      </w:pPr>
      <w:r w:rsidRPr="003337E0">
        <w:t>impact on consumer confidence and agency brand resulting from breaches to trust account practices and fraudulent activities</w:t>
      </w:r>
    </w:p>
    <w:p w:rsidR="00000000" w:rsidRPr="003337E0" w:rsidP="003337E0">
      <w:pPr>
        <w:pStyle w:val="ListBullet"/>
      </w:pPr>
      <w:r w:rsidRPr="003337E0">
        <w:t>agency forms and documentation to transact in trust accounts for integ</w:t>
      </w:r>
      <w:r w:rsidRPr="003337E0">
        <w:t>rity, security, confidentiality and privacy:</w:t>
      </w:r>
    </w:p>
    <w:p w:rsidR="00000000" w:rsidRPr="003337E0" w:rsidP="003337E0">
      <w:pPr>
        <w:pStyle w:val="ListBullet2"/>
      </w:pPr>
      <w:r w:rsidRPr="003337E0">
        <w:t>transaction documents and receipts</w:t>
      </w:r>
    </w:p>
    <w:p w:rsidR="00000000" w:rsidRPr="003337E0" w:rsidP="003337E0">
      <w:pPr>
        <w:pStyle w:val="ListBullet2"/>
      </w:pPr>
      <w:r w:rsidRPr="003337E0">
        <w:t>procedures to authorise payments and withdrawals from the account</w:t>
      </w:r>
    </w:p>
    <w:p w:rsidR="00000000" w:rsidRPr="003337E0" w:rsidP="003337E0">
      <w:pPr>
        <w:pStyle w:val="ListBullet2"/>
      </w:pPr>
      <w:r w:rsidRPr="003337E0">
        <w:t>account reconciliations and balances</w:t>
      </w:r>
    </w:p>
    <w:p w:rsidR="00000000" w:rsidRPr="003337E0" w:rsidP="003337E0">
      <w:pPr>
        <w:pStyle w:val="ListBullet2"/>
      </w:pPr>
      <w:r w:rsidRPr="003337E0">
        <w:t>journals and ledgers</w:t>
      </w:r>
    </w:p>
    <w:p w:rsidR="00000000" w:rsidRPr="003337E0" w:rsidP="003337E0">
      <w:pPr>
        <w:pStyle w:val="ListBullet2"/>
      </w:pPr>
      <w:r w:rsidRPr="003337E0">
        <w:t>internal and external audit schedules</w:t>
      </w:r>
    </w:p>
    <w:p w:rsidR="00000000" w:rsidRPr="003337E0" w:rsidP="003337E0">
      <w:pPr>
        <w:pStyle w:val="ListBullet2"/>
      </w:pPr>
      <w:r w:rsidRPr="003337E0">
        <w:t>password security and electronic tracking of transactions</w:t>
      </w:r>
    </w:p>
    <w:p w:rsidR="00000000" w:rsidRPr="003337E0" w:rsidP="003337E0">
      <w:pPr>
        <w:pStyle w:val="ListBullet"/>
      </w:pPr>
      <w:r w:rsidRPr="003337E0">
        <w:t>documents and records according to requirements in the state or territory of operation</w:t>
      </w:r>
    </w:p>
    <w:p w:rsidR="00000000" w:rsidRPr="003337E0" w:rsidP="003337E0">
      <w:pPr>
        <w:pStyle w:val="ListBullet"/>
      </w:pPr>
      <w:r w:rsidRPr="003337E0">
        <w:t xml:space="preserve">forms of payment made to authorised person/s or trust account: </w:t>
      </w:r>
    </w:p>
    <w:p w:rsidR="00000000" w:rsidRPr="003337E0" w:rsidP="003337E0">
      <w:pPr>
        <w:pStyle w:val="ListBullet2"/>
      </w:pPr>
      <w:r w:rsidRPr="003337E0">
        <w:t>cash</w:t>
      </w:r>
    </w:p>
    <w:p w:rsidR="00000000" w:rsidRPr="003337E0" w:rsidP="003337E0">
      <w:pPr>
        <w:pStyle w:val="ListBullet2"/>
      </w:pPr>
      <w:r w:rsidRPr="003337E0">
        <w:t>cheque</w:t>
      </w:r>
    </w:p>
    <w:p w:rsidR="00000000" w:rsidRPr="003337E0" w:rsidP="003337E0">
      <w:pPr>
        <w:pStyle w:val="ListBullet2"/>
      </w:pPr>
      <w:r w:rsidRPr="003337E0">
        <w:t>EFT</w:t>
      </w:r>
    </w:p>
    <w:p w:rsidR="00000000" w:rsidRPr="003337E0" w:rsidP="003337E0">
      <w:pPr>
        <w:pStyle w:val="ListBullet2"/>
      </w:pPr>
      <w:r w:rsidRPr="003337E0">
        <w:t>direct deposit</w:t>
      </w:r>
    </w:p>
    <w:p w:rsidR="00000000" w:rsidRPr="003337E0" w:rsidP="003337E0">
      <w:pPr>
        <w:pStyle w:val="ListBullet"/>
      </w:pPr>
      <w:r w:rsidRPr="003337E0">
        <w:t xml:space="preserve">processes to </w:t>
      </w:r>
      <w:r w:rsidRPr="003337E0">
        <w:t xml:space="preserve">validate and authorise processing of payments of expenses, deductions, fees and commissions from trust accounts </w:t>
      </w:r>
    </w:p>
    <w:p w:rsidR="00000000" w:rsidRPr="003337E0" w:rsidP="003337E0">
      <w:pPr>
        <w:pStyle w:val="ListBullet"/>
      </w:pPr>
      <w:r w:rsidRPr="003337E0">
        <w:t>actions required when a trust account is overdrawn, compromised, has unclaimed money or a discrepancy is identified</w:t>
      </w:r>
    </w:p>
    <w:p w:rsidR="00000000" w:rsidRPr="003337E0" w:rsidP="003337E0">
      <w:pPr>
        <w:pStyle w:val="ListBullet"/>
      </w:pPr>
      <w:r w:rsidRPr="003337E0">
        <w:t>maintenance and retention of records for trust accounts.</w:t>
      </w:r>
    </w:p>
    <w:p w:rsidR="00000000" w:rsidRPr="003337E0" w:rsidP="003337E0">
      <w:pPr>
        <w:pStyle w:val="AllowPageBreak"/>
      </w:pPr>
    </w:p>
    <w:p w:rsidR="00000000" w:rsidRPr="003337E0" w:rsidP="003337E0">
      <w:pPr>
        <w:pStyle w:val="Heading1"/>
      </w:pPr>
      <w:bookmarkStart w:id="12" w:name="O_1020756"/>
      <w:bookmarkEnd w:id="12"/>
      <w:r w:rsidRPr="003337E0">
        <w:t>Assessment Conditions</w:t>
      </w:r>
    </w:p>
    <w:p w:rsidR="00000000" w:rsidRPr="003337E0" w:rsidP="00457889">
      <w:pPr>
        <w:pStyle w:val="BodyText"/>
      </w:pPr>
      <w:r w:rsidRPr="003337E0">
        <w:t xml:space="preserve">Assessors must satisfy the requirements for assessors listed in the Standards for Registered Training Organisations. </w:t>
      </w:r>
    </w:p>
    <w:p w:rsidR="00000000" w:rsidRPr="003337E0" w:rsidP="00457889">
      <w:pPr>
        <w:pStyle w:val="BodyText"/>
      </w:pPr>
      <w:r w:rsidRPr="003337E0">
        <w:t>Assessment must be conducted in the work</w:t>
      </w:r>
      <w:r w:rsidRPr="003337E0">
        <w:t xml:space="preserve">place or in a simulated workplace environment. </w:t>
      </w:r>
    </w:p>
    <w:p w:rsidR="00000000" w:rsidRPr="003337E0" w:rsidP="00457889">
      <w:pPr>
        <w:pStyle w:val="BodyText"/>
      </w:pPr>
      <w:r w:rsidRPr="003337E0">
        <w:t>Assessors are responsible for ensuring that the person demonstrating competency has access to:</w:t>
      </w:r>
    </w:p>
    <w:p w:rsidR="00000000" w:rsidRPr="003337E0" w:rsidP="003337E0">
      <w:pPr>
        <w:pStyle w:val="ListBullet"/>
      </w:pPr>
      <w:r w:rsidRPr="003337E0">
        <w:t>real estate trust account systems</w:t>
      </w:r>
    </w:p>
    <w:p w:rsidR="00000000" w:rsidRPr="003337E0" w:rsidP="003337E0">
      <w:pPr>
        <w:pStyle w:val="ListBullet"/>
      </w:pPr>
      <w:r w:rsidRPr="003337E0">
        <w:t>procedures, forms and documents for trust accounts transactions, including con</w:t>
      </w:r>
      <w:r w:rsidRPr="003337E0">
        <w:t>tingency procedures</w:t>
      </w:r>
    </w:p>
    <w:p w:rsidR="00000000" w:rsidRPr="003337E0" w:rsidP="003337E0">
      <w:pPr>
        <w:pStyle w:val="ListBullet"/>
      </w:pPr>
      <w:r w:rsidRPr="003337E0">
        <w:t>regulator and licensing requirements for trust account transactions in the state or territory of operation</w:t>
      </w:r>
    </w:p>
    <w:p w:rsidR="00000000" w:rsidRPr="003337E0" w:rsidP="003337E0">
      <w:pPr>
        <w:pStyle w:val="ListBullet"/>
      </w:pPr>
      <w:r w:rsidRPr="003337E0">
        <w:t>summary of offences and penalties for breaches of trust account requirements in the state or territory of operation</w:t>
      </w:r>
    </w:p>
    <w:p w:rsidR="00000000" w:rsidRPr="003337E0" w:rsidP="003337E0">
      <w:pPr>
        <w:pStyle w:val="ListBullet"/>
      </w:pPr>
      <w:r w:rsidRPr="003337E0">
        <w:t>sources of fu</w:t>
      </w:r>
      <w:r w:rsidRPr="003337E0">
        <w:t>rther information about real estate trust accounts.</w:t>
      </w:r>
    </w:p>
    <w:p w:rsidR="00000000" w:rsidRPr="003337E0" w:rsidP="003337E0">
      <w:pPr>
        <w:pStyle w:val="AllowPageBreak"/>
      </w:pPr>
    </w:p>
    <w:p w:rsidR="00000000" w:rsidRPr="003337E0" w:rsidP="003337E0">
      <w:pPr>
        <w:pStyle w:val="Heading1"/>
      </w:pPr>
      <w:bookmarkStart w:id="13" w:name="O_1020754"/>
      <w:bookmarkEnd w:id="13"/>
      <w:r w:rsidRPr="003337E0">
        <w:t>Links</w:t>
      </w:r>
    </w:p>
    <w:p w:rsidR="00000000" w:rsidRPr="003337E0" w:rsidP="00457889">
      <w:pPr>
        <w:pStyle w:val="BodyText"/>
      </w:pPr>
      <w:r w:rsidRPr="003337E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E56E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337E0" w:rsidP="003337E0"/>
    <w:sectPr w:rsidSect="003337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E0" w:rsidRPr="00457889" w:rsidP="00457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89" w:rsidP="00333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889" w:rsidP="00333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57889" w:rsidP="003337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E0" w:rsidP="00333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7889">
      <w:t>Approved</w:t>
    </w:r>
    <w:r w:rsidR="004578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78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7889">
      <w:rPr>
        <w:noProof/>
      </w:rPr>
      <w:t>4</w:t>
    </w:r>
    <w:r>
      <w:rPr>
        <w:noProof/>
      </w:rPr>
      <w:fldChar w:fldCharType="end"/>
    </w:r>
  </w:p>
  <w:p w:rsidR="003337E0" w:rsidP="00333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78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7889">
      <w:t>BuildSkills Australia</w:t>
    </w:r>
    <w:r w:rsidR="00457889">
      <w:fldChar w:fldCharType="end"/>
    </w:r>
  </w:p>
  <w:p w:rsidR="003337E0" w:rsidP="00333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7E0" w:rsidRPr="00457889" w:rsidP="00457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89" w:rsidRPr="002D2AF8" w:rsidP="00333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CPPREP4125 Transact in trust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7889" w:rsidP="003337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E0" w:rsidRPr="002D2AF8" w:rsidP="00333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7889">
      <w:t>CPPREP4125 Transact in trust accounts</w:t>
    </w:r>
    <w:r w:rsidR="004578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7889">
      <w:rPr>
        <w:noProof/>
      </w:rPr>
      <w:t>2 March 2025</w:t>
    </w:r>
    <w:r>
      <w:fldChar w:fldCharType="end"/>
    </w:r>
  </w:p>
  <w:p w:rsidR="003337E0" w:rsidP="00333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FAA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241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52AB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7E0"/>
  </w:style>
  <w:style w:type="character" w:customStyle="1" w:styleId="Heading1Char">
    <w:name w:val="Heading 1 Char"/>
    <w:basedOn w:val="DefaultParagraphFont"/>
    <w:link w:val="Heading1"/>
    <w:rsid w:val="00333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7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7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7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37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3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7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7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37E0"/>
    <w:rPr>
      <w:b/>
      <w:spacing w:val="0"/>
    </w:rPr>
  </w:style>
  <w:style w:type="paragraph" w:customStyle="1" w:styleId="SuperTitle">
    <w:name w:val="SuperTitle"/>
    <w:basedOn w:val="Title"/>
    <w:rsid w:val="00333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3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7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7E0"/>
    <w:rPr>
      <w:i/>
    </w:rPr>
  </w:style>
  <w:style w:type="paragraph" w:styleId="Caption">
    <w:name w:val="caption"/>
    <w:basedOn w:val="BodyText"/>
    <w:next w:val="Normal"/>
    <w:qFormat/>
    <w:rsid w:val="00333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7E0"/>
  </w:style>
  <w:style w:type="paragraph" w:styleId="TableofFigures">
    <w:name w:val="table of figures"/>
    <w:basedOn w:val="Normal"/>
    <w:next w:val="Normal"/>
    <w:semiHidden/>
    <w:rsid w:val="00333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7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37E0"/>
    <w:rPr>
      <w:rFonts w:ascii="Wingdings" w:hAnsi="Wingdings"/>
    </w:rPr>
  </w:style>
  <w:style w:type="paragraph" w:customStyle="1" w:styleId="TableHeading">
    <w:name w:val="Table Heading"/>
    <w:basedOn w:val="HeadingBase"/>
    <w:rsid w:val="003337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7E0"/>
    <w:rPr>
      <w:color w:val="0033CC"/>
      <w:u w:val="none"/>
    </w:rPr>
  </w:style>
  <w:style w:type="paragraph" w:customStyle="1" w:styleId="BodyTextRight">
    <w:name w:val="Body Text Right"/>
    <w:basedOn w:val="BodyText"/>
    <w:rsid w:val="00333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7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7E0"/>
    <w:rPr>
      <w:sz w:val="32"/>
    </w:rPr>
  </w:style>
  <w:style w:type="paragraph" w:customStyle="1" w:styleId="HeadingProcedure">
    <w:name w:val="Heading Procedure"/>
    <w:basedOn w:val="HeadingBase"/>
    <w:next w:val="Normal"/>
    <w:rsid w:val="00333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7E0"/>
    <w:pPr>
      <w:spacing w:before="60" w:after="60"/>
    </w:pPr>
  </w:style>
  <w:style w:type="paragraph" w:styleId="ListContinue">
    <w:name w:val="List Continue"/>
    <w:basedOn w:val="List"/>
    <w:rsid w:val="003337E0"/>
    <w:pPr>
      <w:ind w:firstLine="0"/>
    </w:pPr>
  </w:style>
  <w:style w:type="paragraph" w:customStyle="1" w:styleId="ListNote">
    <w:name w:val="List Note"/>
    <w:basedOn w:val="List"/>
    <w:rsid w:val="00333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7E0"/>
    <w:rPr>
      <w:rFonts w:ascii="Courier New" w:hAnsi="Courier New"/>
    </w:rPr>
  </w:style>
  <w:style w:type="paragraph" w:customStyle="1" w:styleId="NoteBullet">
    <w:name w:val="Note Bullet"/>
    <w:basedOn w:val="Note"/>
    <w:rsid w:val="00333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7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3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7E0"/>
    <w:rPr>
      <w:b/>
      <w:smallCaps/>
    </w:rPr>
  </w:style>
  <w:style w:type="paragraph" w:customStyle="1" w:styleId="TableListNumber">
    <w:name w:val="Table List Number"/>
    <w:basedOn w:val="ListNumber"/>
    <w:rsid w:val="00333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7E0"/>
    <w:pPr>
      <w:numPr>
        <w:numId w:val="9"/>
      </w:numPr>
    </w:pPr>
  </w:style>
  <w:style w:type="paragraph" w:customStyle="1" w:styleId="ListAlpha2">
    <w:name w:val="List Alpha 2"/>
    <w:basedOn w:val="List2"/>
    <w:rsid w:val="003337E0"/>
    <w:pPr>
      <w:numPr>
        <w:numId w:val="8"/>
      </w:numPr>
    </w:pPr>
  </w:style>
  <w:style w:type="paragraph" w:styleId="List2">
    <w:name w:val="List 2"/>
    <w:basedOn w:val="BodyText"/>
    <w:rsid w:val="00333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7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7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7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37E0"/>
    <w:pPr>
      <w:numPr>
        <w:numId w:val="4"/>
      </w:numPr>
    </w:pPr>
  </w:style>
  <w:style w:type="paragraph" w:styleId="ListContinue2">
    <w:name w:val="List Continue 2"/>
    <w:basedOn w:val="List2"/>
    <w:rsid w:val="003337E0"/>
    <w:pPr>
      <w:ind w:firstLine="0"/>
    </w:pPr>
  </w:style>
  <w:style w:type="paragraph" w:styleId="ListContinue3">
    <w:name w:val="List Continue 3"/>
    <w:basedOn w:val="List3"/>
    <w:rsid w:val="003337E0"/>
    <w:pPr>
      <w:ind w:left="1021" w:firstLine="0"/>
    </w:pPr>
  </w:style>
  <w:style w:type="paragraph" w:styleId="ListContinue4">
    <w:name w:val="List Continue 4"/>
    <w:basedOn w:val="List4"/>
    <w:rsid w:val="003337E0"/>
    <w:pPr>
      <w:ind w:firstLine="0"/>
    </w:pPr>
  </w:style>
  <w:style w:type="paragraph" w:styleId="ListContinue5">
    <w:name w:val="List Continue 5"/>
    <w:basedOn w:val="List5"/>
    <w:rsid w:val="003337E0"/>
    <w:pPr>
      <w:ind w:firstLine="0"/>
    </w:pPr>
  </w:style>
  <w:style w:type="paragraph" w:styleId="ListNumber3">
    <w:name w:val="List Number 3"/>
    <w:basedOn w:val="List3"/>
    <w:rsid w:val="003337E0"/>
    <w:pPr>
      <w:numPr>
        <w:numId w:val="5"/>
      </w:numPr>
    </w:pPr>
  </w:style>
  <w:style w:type="paragraph" w:styleId="ListNumber4">
    <w:name w:val="List Number 4"/>
    <w:basedOn w:val="List4"/>
    <w:rsid w:val="003337E0"/>
    <w:pPr>
      <w:numPr>
        <w:numId w:val="6"/>
      </w:numPr>
    </w:pPr>
  </w:style>
  <w:style w:type="paragraph" w:styleId="ListNumber5">
    <w:name w:val="List Number 5"/>
    <w:basedOn w:val="List5"/>
    <w:rsid w:val="003337E0"/>
    <w:pPr>
      <w:numPr>
        <w:numId w:val="7"/>
      </w:numPr>
    </w:pPr>
  </w:style>
  <w:style w:type="paragraph" w:styleId="BlockText">
    <w:name w:val="Block Text"/>
    <w:basedOn w:val="Normal"/>
    <w:rsid w:val="00333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7E0"/>
    <w:rPr>
      <w:sz w:val="16"/>
      <w:vertAlign w:val="superscript"/>
    </w:rPr>
  </w:style>
  <w:style w:type="character" w:customStyle="1" w:styleId="Symbols">
    <w:name w:val="Symbols"/>
    <w:basedOn w:val="DefaultParagraphFont"/>
    <w:rsid w:val="003337E0"/>
    <w:rPr>
      <w:rFonts w:ascii="Symbol" w:hAnsi="Symbol"/>
    </w:rPr>
  </w:style>
  <w:style w:type="character" w:customStyle="1" w:styleId="MenuOptions">
    <w:name w:val="Menu Options"/>
    <w:basedOn w:val="DefaultParagraphFont"/>
    <w:rsid w:val="00333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7E0"/>
    <w:rPr>
      <w:b/>
    </w:rPr>
  </w:style>
  <w:style w:type="character" w:customStyle="1" w:styleId="Underlined">
    <w:name w:val="Underlined"/>
    <w:basedOn w:val="DefaultParagraphFont"/>
    <w:rsid w:val="003337E0"/>
    <w:rPr>
      <w:u w:val="single"/>
    </w:rPr>
  </w:style>
  <w:style w:type="paragraph" w:customStyle="1" w:styleId="TableBodyTextRight">
    <w:name w:val="Table Body Text Right"/>
    <w:basedOn w:val="TableBodyText"/>
    <w:rsid w:val="00333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7E0"/>
    <w:rPr>
      <w:sz w:val="18"/>
    </w:rPr>
  </w:style>
  <w:style w:type="paragraph" w:customStyle="1" w:styleId="BodySmallRight">
    <w:name w:val="Body Small Right"/>
    <w:basedOn w:val="BodyTextRight"/>
    <w:rsid w:val="003337E0"/>
    <w:rPr>
      <w:sz w:val="18"/>
      <w:szCs w:val="18"/>
    </w:rPr>
  </w:style>
  <w:style w:type="paragraph" w:customStyle="1" w:styleId="MarginEdition">
    <w:name w:val="Margin Edition"/>
    <w:basedOn w:val="MarginNote"/>
    <w:rsid w:val="00333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7E0"/>
    <w:rPr>
      <w:sz w:val="2"/>
      <w:szCs w:val="2"/>
    </w:rPr>
  </w:style>
  <w:style w:type="character" w:customStyle="1" w:styleId="Small">
    <w:name w:val="Small"/>
    <w:basedOn w:val="DefaultParagraphFont"/>
    <w:rsid w:val="003337E0"/>
    <w:rPr>
      <w:sz w:val="16"/>
    </w:rPr>
  </w:style>
  <w:style w:type="paragraph" w:customStyle="1" w:styleId="WideTable">
    <w:name w:val="Wide Table"/>
    <w:basedOn w:val="Normal"/>
    <w:rsid w:val="00333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7E0"/>
  </w:style>
  <w:style w:type="paragraph" w:styleId="Quote">
    <w:name w:val="Quote"/>
    <w:basedOn w:val="Heading1"/>
    <w:link w:val="QuoteChar"/>
    <w:qFormat/>
    <w:rsid w:val="00333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7E0"/>
    <w:pPr>
      <w:pageBreakBefore/>
    </w:pPr>
  </w:style>
  <w:style w:type="paragraph" w:customStyle="1" w:styleId="Border">
    <w:name w:val="Border"/>
    <w:basedOn w:val="Normal"/>
    <w:qFormat/>
    <w:rsid w:val="00333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7E0"/>
    <w:rPr>
      <w:u w:val="single"/>
    </w:rPr>
  </w:style>
  <w:style w:type="character" w:customStyle="1" w:styleId="BoldandItalics">
    <w:name w:val="Bold and Italics"/>
    <w:qFormat/>
    <w:rsid w:val="003337E0"/>
    <w:rPr>
      <w:b/>
      <w:i/>
      <w:u w:val="none"/>
    </w:rPr>
  </w:style>
  <w:style w:type="paragraph" w:styleId="BalloonText">
    <w:name w:val="Balloon Text"/>
    <w:basedOn w:val="Normal"/>
    <w:link w:val="BalloonTextChar"/>
    <w:rsid w:val="00333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7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7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7E0"/>
    <w:pPr>
      <w:spacing w:before="0" w:after="0"/>
    </w:pPr>
  </w:style>
  <w:style w:type="paragraph" w:customStyle="1" w:styleId="BodyTextBold">
    <w:name w:val="Body Text Bold"/>
    <w:basedOn w:val="BodyText"/>
    <w:qFormat/>
    <w:rsid w:val="003337E0"/>
    <w:rPr>
      <w:b/>
    </w:rPr>
  </w:style>
  <w:style w:type="character" w:styleId="Hyperlink">
    <w:name w:val="Hyperlink"/>
    <w:basedOn w:val="DefaultParagraphFont"/>
    <w:uiPriority w:val="99"/>
    <w:unhideWhenUsed/>
    <w:rsid w:val="00457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5540</Characters>
  <Application>Microsoft Office Word</Application>
  <DocSecurity>0</DocSecurity>
  <Lines>221</Lines>
  <Paragraphs>139</Paragraphs>
  <ScaleCrop>false</ScaleCrop>
  <Company>Author-it Software Corporation Ltd.</Company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CPPREP4125 Transact in trust accounts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