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87E" w:rsidP="007C1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CPPREP4124 End tenancy</w:t>
      </w:r>
      <w:r>
        <w:fldChar w:fldCharType="end"/>
      </w:r>
    </w:p>
    <w:p w:rsidR="007C187E" w:rsidP="007C187E">
      <w:pPr>
        <w:pStyle w:val="Version"/>
        <w:sectPr w:rsidSect="00A321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192" w:rsidP="00A32192">
      <w:pPr>
        <w:pStyle w:val="SuperHeading"/>
      </w:pPr>
      <w:r w:rsidRPr="00A32192">
        <w:t>Assessment Requirements for CPPREP4124 End tenancy</w:t>
      </w:r>
    </w:p>
    <w:p w:rsidR="00000000" w:rsidRPr="00A32192" w:rsidP="00A32192">
      <w:pPr>
        <w:pStyle w:val="Heading1"/>
      </w:pPr>
      <w:bookmarkStart w:id="1" w:name="O_1020738"/>
      <w:bookmarkEnd w:id="1"/>
      <w:r w:rsidRPr="00A321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32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192">
            <w:pPr>
              <w:pStyle w:val="BodyText"/>
              <w:rPr>
                <w:lang w:val="en-NZ"/>
              </w:rPr>
            </w:pPr>
            <w:r w:rsidRPr="00A3219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192" w:rsidP="00A32192">
            <w:pPr>
              <w:pStyle w:val="BodyText"/>
            </w:pPr>
            <w:r w:rsidRPr="00A32192">
              <w:t>This version first released with CPP Property Services Training Package Release 8.0.</w:t>
            </w:r>
          </w:p>
          <w:p w:rsidR="00000000" w:rsidRPr="00A32192" w:rsidP="00A32192">
            <w:pPr>
              <w:pStyle w:val="BodyText"/>
            </w:pPr>
            <w:r w:rsidRPr="00A32192">
              <w:t>New unit of competency.</w:t>
            </w:r>
          </w:p>
        </w:tc>
      </w:tr>
    </w:tbl>
    <w:p w:rsidR="00000000" w:rsidRPr="00A32192" w:rsidP="00A32192">
      <w:pPr>
        <w:pStyle w:val="BodyText"/>
      </w:pPr>
    </w:p>
    <w:p w:rsidR="00000000" w:rsidRPr="00A32192" w:rsidP="00A32192">
      <w:pPr>
        <w:pStyle w:val="AllowPageBreak"/>
      </w:pPr>
    </w:p>
    <w:p w:rsidR="00000000" w:rsidRPr="00A32192" w:rsidP="00A32192">
      <w:pPr>
        <w:pStyle w:val="Heading1"/>
      </w:pPr>
      <w:bookmarkStart w:id="2" w:name="O_1020741"/>
      <w:bookmarkEnd w:id="2"/>
      <w:r w:rsidRPr="00A32192">
        <w:t>Performance Evidence</w:t>
      </w:r>
    </w:p>
    <w:p w:rsidR="00000000" w:rsidRPr="00A32192" w:rsidP="007C187E">
      <w:pPr>
        <w:pStyle w:val="BodyText"/>
      </w:pPr>
      <w:r w:rsidRPr="00A32192">
        <w:t>To demonstrate competency in this unit, a person must:</w:t>
      </w:r>
    </w:p>
    <w:p w:rsidR="00000000" w:rsidRPr="00A32192" w:rsidP="00A32192">
      <w:pPr>
        <w:pStyle w:val="ListBullet"/>
      </w:pPr>
      <w:r w:rsidRPr="00A32192">
        <w:t>prepare w</w:t>
      </w:r>
      <w:r w:rsidRPr="00A32192">
        <w:t>ritten advice for at least one tenant detailing requirements to successfully end tenancy</w:t>
      </w:r>
    </w:p>
    <w:p w:rsidR="00000000" w:rsidRPr="00A32192" w:rsidP="00A32192">
      <w:pPr>
        <w:pStyle w:val="ListBullet"/>
      </w:pPr>
      <w:r w:rsidRPr="00A32192">
        <w:t>document a process to negotiate with at least one tenant for rectification of any issues with property condition for release of bond</w:t>
      </w:r>
    </w:p>
    <w:p w:rsidR="00000000" w:rsidRPr="00A32192" w:rsidP="00A32192">
      <w:pPr>
        <w:pStyle w:val="ListBullet"/>
      </w:pPr>
      <w:r w:rsidRPr="00A32192">
        <w:t>prepare written advice to landlord</w:t>
      </w:r>
      <w:r w:rsidRPr="00A32192">
        <w:t xml:space="preserve"> in circumstances of breach of lease that includes actions to be taken</w:t>
      </w:r>
    </w:p>
    <w:p w:rsidR="00000000" w:rsidRPr="00A32192" w:rsidP="00A32192">
      <w:pPr>
        <w:pStyle w:val="ListBullet"/>
      </w:pPr>
      <w:r w:rsidRPr="00A32192">
        <w:t xml:space="preserve">prepare statutory notices to end at least one tenancy that complies with legislative requirements for each of the following circumstances: </w:t>
      </w:r>
    </w:p>
    <w:p w:rsidR="00000000" w:rsidRPr="00A32192" w:rsidP="00A32192">
      <w:pPr>
        <w:pStyle w:val="ListBullet2"/>
      </w:pPr>
      <w:r w:rsidRPr="00A32192">
        <w:t>breach of tenancy agreement</w:t>
      </w:r>
    </w:p>
    <w:p w:rsidR="00000000" w:rsidRPr="00A32192" w:rsidP="00A32192">
      <w:pPr>
        <w:pStyle w:val="ListBullet2"/>
      </w:pPr>
      <w:r w:rsidRPr="00A32192">
        <w:t>landlord personal reasons</w:t>
      </w:r>
    </w:p>
    <w:p w:rsidR="00000000" w:rsidRPr="00A32192" w:rsidP="00A32192">
      <w:pPr>
        <w:pStyle w:val="ListBullet2"/>
      </w:pPr>
      <w:r w:rsidRPr="00A32192">
        <w:t>possession of property.</w:t>
      </w:r>
    </w:p>
    <w:p w:rsidR="00000000" w:rsidRPr="00A32192" w:rsidP="007C187E">
      <w:pPr>
        <w:pStyle w:val="BodyText"/>
      </w:pPr>
      <w:r w:rsidRPr="00A32192">
        <w:t>In doing this, the person must meet the performance criteria for this unit.</w:t>
      </w:r>
    </w:p>
    <w:p w:rsidR="00000000" w:rsidRPr="00A32192" w:rsidP="00A32192">
      <w:pPr>
        <w:pStyle w:val="Heading1"/>
      </w:pPr>
      <w:bookmarkStart w:id="3" w:name="O_1020740"/>
      <w:bookmarkEnd w:id="3"/>
      <w:r w:rsidRPr="00A32192">
        <w:t>Knowledge Evidence</w:t>
      </w:r>
    </w:p>
    <w:p w:rsidR="00000000" w:rsidRPr="00A32192" w:rsidP="007C187E">
      <w:pPr>
        <w:pStyle w:val="BodyText"/>
      </w:pPr>
      <w:r w:rsidRPr="00A32192">
        <w:t>To be competent in this unit, a person must demonstrate knowledge of:</w:t>
      </w:r>
    </w:p>
    <w:p w:rsidR="00000000" w:rsidRPr="00A32192" w:rsidP="00A32192">
      <w:pPr>
        <w:pStyle w:val="ListBullet"/>
      </w:pPr>
      <w:r w:rsidRPr="00A32192">
        <w:t>real estate tenancy m</w:t>
      </w:r>
      <w:r w:rsidRPr="00A32192">
        <w:t>anagement services</w:t>
      </w:r>
    </w:p>
    <w:p w:rsidR="00000000" w:rsidRPr="00A32192" w:rsidP="00A32192">
      <w:pPr>
        <w:pStyle w:val="ListBullet"/>
      </w:pPr>
      <w:r w:rsidRPr="00A32192">
        <w:t>legislation relating to property management in the state or territory of operation</w:t>
      </w:r>
    </w:p>
    <w:p w:rsidR="00000000" w:rsidRPr="00A32192" w:rsidP="00A32192">
      <w:pPr>
        <w:pStyle w:val="ListBullet"/>
      </w:pPr>
      <w:r w:rsidRPr="00A32192">
        <w:t>role of agent in managing tenancy</w:t>
      </w:r>
    </w:p>
    <w:p w:rsidR="00000000" w:rsidRPr="00A32192" w:rsidP="00A32192">
      <w:pPr>
        <w:pStyle w:val="ListBullet"/>
      </w:pPr>
      <w:r w:rsidRPr="00A32192">
        <w:t xml:space="preserve">rights and obligations of agent, landlord and tenant during tenancy  </w:t>
      </w:r>
    </w:p>
    <w:p w:rsidR="00000000" w:rsidRPr="00A32192" w:rsidP="00A32192">
      <w:pPr>
        <w:pStyle w:val="ListBullet"/>
      </w:pPr>
      <w:r w:rsidRPr="00A32192">
        <w:t>ethical practice associated with tenancy agreement</w:t>
      </w:r>
      <w:r w:rsidRPr="00A32192">
        <w:t>s, including disclosure</w:t>
      </w:r>
    </w:p>
    <w:p w:rsidR="00000000" w:rsidRPr="00A32192" w:rsidP="00A32192">
      <w:pPr>
        <w:pStyle w:val="ListBullet"/>
      </w:pPr>
      <w:r w:rsidRPr="00A32192">
        <w:t>inspecting tenanted premises:</w:t>
      </w:r>
    </w:p>
    <w:p w:rsidR="00000000" w:rsidRPr="00A32192" w:rsidP="00A32192">
      <w:pPr>
        <w:pStyle w:val="ListBullet2"/>
      </w:pPr>
      <w:r w:rsidRPr="00A32192">
        <w:t>notice to tenant</w:t>
      </w:r>
    </w:p>
    <w:p w:rsidR="00000000" w:rsidRPr="00A32192" w:rsidP="00A32192">
      <w:pPr>
        <w:pStyle w:val="ListBullet2"/>
      </w:pPr>
      <w:r w:rsidRPr="00A32192">
        <w:t>reports</w:t>
      </w:r>
    </w:p>
    <w:p w:rsidR="00000000" w:rsidRPr="00A32192" w:rsidP="00A32192">
      <w:pPr>
        <w:pStyle w:val="ListBullet2"/>
      </w:pPr>
      <w:r w:rsidRPr="00A32192">
        <w:t>communication to landlord</w:t>
      </w:r>
    </w:p>
    <w:p w:rsidR="00000000" w:rsidRPr="00A32192" w:rsidP="00A32192">
      <w:pPr>
        <w:pStyle w:val="ListBullet"/>
      </w:pPr>
      <w:r w:rsidRPr="00A32192">
        <w:t>rent:</w:t>
      </w:r>
    </w:p>
    <w:p w:rsidR="00000000" w:rsidRPr="00A32192" w:rsidP="00A32192">
      <w:pPr>
        <w:pStyle w:val="ListBullet2"/>
      </w:pPr>
      <w:r w:rsidRPr="00A32192">
        <w:t>payment</w:t>
      </w:r>
    </w:p>
    <w:p w:rsidR="00000000" w:rsidRPr="00A32192" w:rsidP="00A32192">
      <w:pPr>
        <w:pStyle w:val="ListBullet2"/>
      </w:pPr>
      <w:r w:rsidRPr="00A32192">
        <w:t>receipting, banking and recording</w:t>
      </w:r>
    </w:p>
    <w:p w:rsidR="00000000" w:rsidRPr="00A32192" w:rsidP="00A32192">
      <w:pPr>
        <w:pStyle w:val="ListBullet2"/>
      </w:pPr>
      <w:r w:rsidRPr="00A32192">
        <w:t>rent arrears</w:t>
      </w:r>
    </w:p>
    <w:p w:rsidR="00000000" w:rsidRPr="00A32192" w:rsidP="00A32192">
      <w:pPr>
        <w:pStyle w:val="ListBullet2"/>
      </w:pPr>
      <w:r w:rsidRPr="00A32192">
        <w:t>rent increases</w:t>
      </w:r>
    </w:p>
    <w:p w:rsidR="00000000" w:rsidRPr="00A32192" w:rsidP="00A32192">
      <w:pPr>
        <w:pStyle w:val="ListBullet2"/>
      </w:pPr>
      <w:r w:rsidRPr="00A32192">
        <w:t>rent reviews</w:t>
      </w:r>
    </w:p>
    <w:p w:rsidR="00000000" w:rsidRPr="00A32192" w:rsidP="00A32192">
      <w:pPr>
        <w:pStyle w:val="ListBullet"/>
      </w:pPr>
      <w:r w:rsidRPr="00A32192">
        <w:t>components of tenancy agreements:</w:t>
      </w:r>
    </w:p>
    <w:p w:rsidR="00000000" w:rsidRPr="00A32192" w:rsidP="00A32192">
      <w:pPr>
        <w:pStyle w:val="ListBullet2"/>
      </w:pPr>
      <w:r w:rsidRPr="00A32192">
        <w:t>condition report and disclosure statements</w:t>
      </w:r>
    </w:p>
    <w:p w:rsidR="00000000" w:rsidRPr="00A32192" w:rsidP="00A32192">
      <w:pPr>
        <w:pStyle w:val="ListBullet2"/>
      </w:pPr>
      <w:r w:rsidRPr="00A32192">
        <w:t>fixed and periodic terms</w:t>
      </w:r>
    </w:p>
    <w:p w:rsidR="00000000" w:rsidRPr="00A32192" w:rsidP="00A32192">
      <w:pPr>
        <w:pStyle w:val="ListBullet2"/>
      </w:pPr>
      <w:r w:rsidRPr="00A32192">
        <w:t>format of agreements</w:t>
      </w:r>
    </w:p>
    <w:p w:rsidR="00000000" w:rsidRPr="00A32192" w:rsidP="00A32192">
      <w:pPr>
        <w:pStyle w:val="ListBullet2"/>
      </w:pPr>
      <w:r w:rsidRPr="00A32192">
        <w:t>legal obligations of agent, landlord and tenant</w:t>
      </w:r>
    </w:p>
    <w:p w:rsidR="00000000" w:rsidRPr="00A32192" w:rsidP="00A32192">
      <w:pPr>
        <w:pStyle w:val="ListBullet2"/>
      </w:pPr>
      <w:r w:rsidRPr="00A32192">
        <w:t>rents, security deposits and bond moneys</w:t>
      </w:r>
    </w:p>
    <w:p w:rsidR="00000000" w:rsidRPr="00A32192" w:rsidP="00A32192">
      <w:pPr>
        <w:pStyle w:val="ListBullet"/>
      </w:pPr>
      <w:r w:rsidRPr="00A32192">
        <w:t>processes for receiving and responding to tenant requests to end tenancy</w:t>
      </w:r>
    </w:p>
    <w:p w:rsidR="00000000" w:rsidRPr="00A32192" w:rsidP="00A32192">
      <w:pPr>
        <w:pStyle w:val="ListBullet"/>
      </w:pPr>
      <w:r w:rsidRPr="00A32192">
        <w:t>proc</w:t>
      </w:r>
      <w:r w:rsidRPr="00A32192">
        <w:t>esses for receiving and responding to landlord requests to end tenancy</w:t>
      </w:r>
    </w:p>
    <w:p w:rsidR="00000000" w:rsidRPr="00A32192" w:rsidP="00A32192">
      <w:pPr>
        <w:pStyle w:val="ListBullet"/>
      </w:pPr>
      <w:r w:rsidRPr="00A32192">
        <w:t>breaches of tenancy agreement or conditions</w:t>
      </w:r>
    </w:p>
    <w:p w:rsidR="00000000" w:rsidRPr="00A32192" w:rsidP="00A32192">
      <w:pPr>
        <w:pStyle w:val="ListBullet"/>
      </w:pPr>
      <w:r w:rsidRPr="00A32192">
        <w:t>termination of leases and tenancy agreements:</w:t>
      </w:r>
    </w:p>
    <w:p w:rsidR="00000000" w:rsidRPr="00A32192" w:rsidP="00A32192">
      <w:pPr>
        <w:pStyle w:val="ListBullet2"/>
      </w:pPr>
      <w:r w:rsidRPr="00A32192">
        <w:t>relevant documentation</w:t>
      </w:r>
    </w:p>
    <w:p w:rsidR="00000000" w:rsidRPr="00A32192" w:rsidP="00A32192">
      <w:pPr>
        <w:pStyle w:val="ListBullet2"/>
      </w:pPr>
      <w:r w:rsidRPr="00A32192">
        <w:t>rents, security deposits and bond moneys</w:t>
      </w:r>
    </w:p>
    <w:p w:rsidR="00000000" w:rsidRPr="00A32192" w:rsidP="00A32192">
      <w:pPr>
        <w:pStyle w:val="ListBullet2"/>
      </w:pPr>
      <w:r w:rsidRPr="00A32192">
        <w:t>rights of landlords and tenants</w:t>
      </w:r>
    </w:p>
    <w:p w:rsidR="00000000" w:rsidRPr="00A32192" w:rsidP="00A32192">
      <w:pPr>
        <w:pStyle w:val="ListBullet"/>
      </w:pPr>
      <w:r w:rsidRPr="00A32192">
        <w:t>bond claims and repayments, legal requirements and agency procedures</w:t>
      </w:r>
    </w:p>
    <w:p w:rsidR="00000000" w:rsidRPr="00A32192" w:rsidP="00A32192">
      <w:pPr>
        <w:pStyle w:val="ListBullet"/>
      </w:pPr>
      <w:r w:rsidRPr="00A32192">
        <w:t>tribunal orders and possession</w:t>
      </w:r>
    </w:p>
    <w:p w:rsidR="00000000" w:rsidRPr="00A32192" w:rsidP="00A32192">
      <w:pPr>
        <w:pStyle w:val="ListBullet"/>
      </w:pPr>
      <w:r w:rsidRPr="00A32192">
        <w:t>legislation relating to ending tenancies in the state or territory of operation</w:t>
      </w:r>
    </w:p>
    <w:p w:rsidR="00000000" w:rsidRPr="00A32192" w:rsidP="00A32192">
      <w:pPr>
        <w:pStyle w:val="ListBullet"/>
      </w:pPr>
      <w:r w:rsidRPr="00A32192">
        <w:t>scope of authority and imitations of work r</w:t>
      </w:r>
      <w:r w:rsidRPr="00A32192">
        <w:t xml:space="preserve">ole, responsibility and professional abilities </w:t>
      </w:r>
    </w:p>
    <w:p w:rsidR="00000000" w:rsidRPr="00A32192" w:rsidP="00A32192">
      <w:pPr>
        <w:pStyle w:val="ListBullet"/>
      </w:pPr>
      <w:r w:rsidRPr="00A32192">
        <w:t>sources of advice about ending tenancy arrangements</w:t>
      </w:r>
    </w:p>
    <w:p w:rsidR="00000000" w:rsidRPr="00A32192" w:rsidP="00A32192">
      <w:pPr>
        <w:pStyle w:val="ListBullet"/>
      </w:pPr>
      <w:r w:rsidRPr="00A32192">
        <w:t>advice that must be given to tenants according to the state or territory of operation</w:t>
      </w:r>
    </w:p>
    <w:p w:rsidR="00000000" w:rsidRPr="00A32192" w:rsidP="00A32192">
      <w:pPr>
        <w:pStyle w:val="ListBullet"/>
      </w:pPr>
      <w:r w:rsidRPr="00A32192">
        <w:t>tenancy record keeping policies and procedures</w:t>
      </w:r>
    </w:p>
    <w:p w:rsidR="00000000" w:rsidRPr="00A32192" w:rsidP="00A32192">
      <w:pPr>
        <w:pStyle w:val="ListBullet"/>
      </w:pPr>
      <w:r w:rsidRPr="00A32192">
        <w:t>privacy standards and c</w:t>
      </w:r>
      <w:r w:rsidRPr="00A32192">
        <w:t>onfidentiality in relation to tenant and landlord</w:t>
      </w:r>
    </w:p>
    <w:p w:rsidR="00000000" w:rsidRPr="00A32192" w:rsidP="00A32192">
      <w:pPr>
        <w:pStyle w:val="ListBullet"/>
      </w:pPr>
      <w:r w:rsidRPr="00A32192">
        <w:t>agency property records:</w:t>
      </w:r>
    </w:p>
    <w:p w:rsidR="00000000" w:rsidRPr="00A32192" w:rsidP="00A32192">
      <w:pPr>
        <w:pStyle w:val="ListBullet2"/>
      </w:pPr>
      <w:r w:rsidRPr="00A32192">
        <w:t xml:space="preserve">key features of a records management system </w:t>
      </w:r>
    </w:p>
    <w:p w:rsidR="00000000" w:rsidRPr="00A32192" w:rsidP="00A32192">
      <w:pPr>
        <w:pStyle w:val="ListBullet2"/>
      </w:pPr>
      <w:r w:rsidRPr="00A32192">
        <w:t>reasons for maintaining property records</w:t>
      </w:r>
    </w:p>
    <w:p w:rsidR="00000000" w:rsidRPr="00A32192" w:rsidP="00A32192">
      <w:pPr>
        <w:pStyle w:val="ListBullet2"/>
      </w:pPr>
      <w:r w:rsidRPr="00A32192">
        <w:t>types of property records</w:t>
      </w:r>
    </w:p>
    <w:p w:rsidR="00000000" w:rsidRPr="00A32192" w:rsidP="007C187E">
      <w:pPr>
        <w:pStyle w:val="BodyText"/>
      </w:pPr>
      <w:r w:rsidRPr="00A32192">
        <w:t>communication strategies for responding to client complaints.</w:t>
      </w:r>
    </w:p>
    <w:p w:rsidR="00000000" w:rsidRPr="00A32192" w:rsidP="00A32192">
      <w:pPr>
        <w:pStyle w:val="Heading1"/>
      </w:pPr>
      <w:bookmarkStart w:id="4" w:name="O_1020739"/>
      <w:bookmarkEnd w:id="4"/>
      <w:r w:rsidRPr="00A32192">
        <w:t>Assessment Conditions</w:t>
      </w:r>
    </w:p>
    <w:p w:rsidR="00000000" w:rsidRPr="00A32192" w:rsidP="007C187E">
      <w:pPr>
        <w:pStyle w:val="BodyText"/>
      </w:pPr>
      <w:r w:rsidRPr="00A32192">
        <w:t xml:space="preserve">Assessors must satisfy the requirements for assessors listed in the Standards for Registered Training Organisations. </w:t>
      </w:r>
    </w:p>
    <w:p w:rsidR="00000000" w:rsidRPr="00A32192" w:rsidP="007C187E">
      <w:pPr>
        <w:pStyle w:val="BodyText"/>
      </w:pPr>
      <w:r w:rsidRPr="00A32192">
        <w:t xml:space="preserve">Assessment must be conducted in the workplace or in a simulated workplace environment. </w:t>
      </w:r>
    </w:p>
    <w:p w:rsidR="00000000" w:rsidRPr="00A32192" w:rsidP="007C187E">
      <w:pPr>
        <w:pStyle w:val="BodyText"/>
      </w:pPr>
      <w:r w:rsidRPr="00A32192">
        <w:t xml:space="preserve">Assessors </w:t>
      </w:r>
      <w:r w:rsidRPr="00A32192">
        <w:t>are responsible for ensuring that the person demonstrating competency has access to:</w:t>
      </w:r>
    </w:p>
    <w:p w:rsidR="00000000" w:rsidRPr="00A32192" w:rsidP="00A32192">
      <w:pPr>
        <w:pStyle w:val="ListBullet"/>
      </w:pPr>
      <w:r w:rsidRPr="00A32192">
        <w:t xml:space="preserve">agency procedures and forms/documents relating to property management </w:t>
      </w:r>
    </w:p>
    <w:p w:rsidR="00000000" w:rsidRPr="00A32192" w:rsidP="00A32192">
      <w:pPr>
        <w:pStyle w:val="ListBullet"/>
      </w:pPr>
      <w:r w:rsidRPr="00A32192">
        <w:t>legislation relating to property management, rights and obligations of tenants and landlords in the</w:t>
      </w:r>
      <w:r w:rsidRPr="00A32192">
        <w:t xml:space="preserve"> state or territory of operation.</w:t>
      </w:r>
    </w:p>
    <w:p w:rsidR="00000000" w:rsidRPr="00A32192" w:rsidP="00A32192">
      <w:pPr>
        <w:pStyle w:val="AllowPageBreak"/>
      </w:pPr>
    </w:p>
    <w:p w:rsidR="00000000" w:rsidRPr="00A32192" w:rsidP="00A32192">
      <w:pPr>
        <w:pStyle w:val="Heading1"/>
      </w:pPr>
      <w:bookmarkStart w:id="5" w:name="O_1020737"/>
      <w:bookmarkEnd w:id="5"/>
      <w:r w:rsidRPr="00A32192">
        <w:t>Links</w:t>
      </w:r>
    </w:p>
    <w:p w:rsidR="00000000" w:rsidRPr="00A32192" w:rsidP="007C187E">
      <w:pPr>
        <w:pStyle w:val="BodyText"/>
      </w:pPr>
      <w:r w:rsidRPr="00A3219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066E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32192" w:rsidP="00A32192"/>
    <w:sectPr w:rsidSect="00A321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1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192" w:rsidRPr="007C187E" w:rsidP="007C1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1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7E" w:rsidP="00A32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87E" w:rsidP="00A32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C187E" w:rsidP="00A321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1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192" w:rsidRPr="007C187E" w:rsidP="007C1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1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7E" w:rsidRPr="002D2AF8" w:rsidP="00A32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CPPREP4124 End tenancy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C187E" w:rsidP="00A321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D6E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32C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BE50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1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1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1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1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1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1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1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1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1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1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1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192"/>
  </w:style>
  <w:style w:type="character" w:customStyle="1" w:styleId="Heading1Char">
    <w:name w:val="Heading 1 Char"/>
    <w:basedOn w:val="DefaultParagraphFont"/>
    <w:link w:val="Heading1"/>
    <w:rsid w:val="00A321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1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1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1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21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21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1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1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1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1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1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1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1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1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1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1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1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1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1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1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1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1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1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2192"/>
    <w:rPr>
      <w:b/>
      <w:spacing w:val="0"/>
    </w:rPr>
  </w:style>
  <w:style w:type="paragraph" w:customStyle="1" w:styleId="SuperTitle">
    <w:name w:val="SuperTitle"/>
    <w:basedOn w:val="Title"/>
    <w:rsid w:val="00A321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1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1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1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1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1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1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1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1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1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1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1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192"/>
    <w:rPr>
      <w:i/>
    </w:rPr>
  </w:style>
  <w:style w:type="paragraph" w:styleId="Caption">
    <w:name w:val="caption"/>
    <w:basedOn w:val="BodyText"/>
    <w:next w:val="Normal"/>
    <w:qFormat/>
    <w:rsid w:val="00A321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1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1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192"/>
  </w:style>
  <w:style w:type="paragraph" w:styleId="TableofFigures">
    <w:name w:val="table of figures"/>
    <w:basedOn w:val="Normal"/>
    <w:next w:val="Normal"/>
    <w:semiHidden/>
    <w:rsid w:val="00A321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1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2192"/>
    <w:rPr>
      <w:rFonts w:ascii="Wingdings" w:hAnsi="Wingdings"/>
    </w:rPr>
  </w:style>
  <w:style w:type="paragraph" w:customStyle="1" w:styleId="TableHeading">
    <w:name w:val="Table Heading"/>
    <w:basedOn w:val="HeadingBase"/>
    <w:rsid w:val="00A321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192"/>
    <w:rPr>
      <w:color w:val="0033CC"/>
      <w:u w:val="none"/>
    </w:rPr>
  </w:style>
  <w:style w:type="paragraph" w:customStyle="1" w:styleId="BodyTextRight">
    <w:name w:val="Body Text Right"/>
    <w:basedOn w:val="BodyText"/>
    <w:rsid w:val="00A321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1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1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1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1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1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192"/>
    <w:rPr>
      <w:sz w:val="32"/>
    </w:rPr>
  </w:style>
  <w:style w:type="paragraph" w:customStyle="1" w:styleId="HeadingProcedure">
    <w:name w:val="Heading Procedure"/>
    <w:basedOn w:val="HeadingBase"/>
    <w:next w:val="Normal"/>
    <w:rsid w:val="00A321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192"/>
    <w:pPr>
      <w:spacing w:before="60" w:after="60"/>
    </w:pPr>
  </w:style>
  <w:style w:type="paragraph" w:styleId="ListContinue">
    <w:name w:val="List Continue"/>
    <w:basedOn w:val="List"/>
    <w:rsid w:val="00A32192"/>
    <w:pPr>
      <w:ind w:firstLine="0"/>
    </w:pPr>
  </w:style>
  <w:style w:type="paragraph" w:customStyle="1" w:styleId="ListNote">
    <w:name w:val="List Note"/>
    <w:basedOn w:val="List"/>
    <w:rsid w:val="00A321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1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1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192"/>
    <w:rPr>
      <w:rFonts w:ascii="Courier New" w:hAnsi="Courier New"/>
    </w:rPr>
  </w:style>
  <w:style w:type="paragraph" w:customStyle="1" w:styleId="NoteBullet">
    <w:name w:val="Note Bullet"/>
    <w:basedOn w:val="Note"/>
    <w:rsid w:val="00A321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1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1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1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1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21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1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192"/>
    <w:rPr>
      <w:b/>
      <w:smallCaps/>
    </w:rPr>
  </w:style>
  <w:style w:type="paragraph" w:customStyle="1" w:styleId="TableListNumber">
    <w:name w:val="Table List Number"/>
    <w:basedOn w:val="ListNumber"/>
    <w:rsid w:val="00A321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1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192"/>
    <w:pPr>
      <w:numPr>
        <w:numId w:val="9"/>
      </w:numPr>
    </w:pPr>
  </w:style>
  <w:style w:type="paragraph" w:customStyle="1" w:styleId="ListAlpha2">
    <w:name w:val="List Alpha 2"/>
    <w:basedOn w:val="List2"/>
    <w:rsid w:val="00A32192"/>
    <w:pPr>
      <w:numPr>
        <w:numId w:val="8"/>
      </w:numPr>
    </w:pPr>
  </w:style>
  <w:style w:type="paragraph" w:styleId="List2">
    <w:name w:val="List 2"/>
    <w:basedOn w:val="BodyText"/>
    <w:rsid w:val="00A321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1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1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1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1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1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2192"/>
    <w:pPr>
      <w:numPr>
        <w:numId w:val="4"/>
      </w:numPr>
    </w:pPr>
  </w:style>
  <w:style w:type="paragraph" w:styleId="ListContinue2">
    <w:name w:val="List Continue 2"/>
    <w:basedOn w:val="List2"/>
    <w:rsid w:val="00A32192"/>
    <w:pPr>
      <w:ind w:firstLine="0"/>
    </w:pPr>
  </w:style>
  <w:style w:type="paragraph" w:styleId="ListContinue3">
    <w:name w:val="List Continue 3"/>
    <w:basedOn w:val="List3"/>
    <w:rsid w:val="00A32192"/>
    <w:pPr>
      <w:ind w:left="1021" w:firstLine="0"/>
    </w:pPr>
  </w:style>
  <w:style w:type="paragraph" w:styleId="ListContinue4">
    <w:name w:val="List Continue 4"/>
    <w:basedOn w:val="List4"/>
    <w:rsid w:val="00A32192"/>
    <w:pPr>
      <w:ind w:firstLine="0"/>
    </w:pPr>
  </w:style>
  <w:style w:type="paragraph" w:styleId="ListContinue5">
    <w:name w:val="List Continue 5"/>
    <w:basedOn w:val="List5"/>
    <w:rsid w:val="00A32192"/>
    <w:pPr>
      <w:ind w:firstLine="0"/>
    </w:pPr>
  </w:style>
  <w:style w:type="paragraph" w:styleId="ListNumber3">
    <w:name w:val="List Number 3"/>
    <w:basedOn w:val="List3"/>
    <w:rsid w:val="00A32192"/>
    <w:pPr>
      <w:numPr>
        <w:numId w:val="5"/>
      </w:numPr>
    </w:pPr>
  </w:style>
  <w:style w:type="paragraph" w:styleId="ListNumber4">
    <w:name w:val="List Number 4"/>
    <w:basedOn w:val="List4"/>
    <w:rsid w:val="00A32192"/>
    <w:pPr>
      <w:numPr>
        <w:numId w:val="6"/>
      </w:numPr>
    </w:pPr>
  </w:style>
  <w:style w:type="paragraph" w:styleId="ListNumber5">
    <w:name w:val="List Number 5"/>
    <w:basedOn w:val="List5"/>
    <w:rsid w:val="00A32192"/>
    <w:pPr>
      <w:numPr>
        <w:numId w:val="7"/>
      </w:numPr>
    </w:pPr>
  </w:style>
  <w:style w:type="paragraph" w:styleId="BlockText">
    <w:name w:val="Block Text"/>
    <w:basedOn w:val="Normal"/>
    <w:rsid w:val="00A321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1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192"/>
    <w:rPr>
      <w:sz w:val="16"/>
      <w:vertAlign w:val="superscript"/>
    </w:rPr>
  </w:style>
  <w:style w:type="character" w:customStyle="1" w:styleId="Symbols">
    <w:name w:val="Symbols"/>
    <w:basedOn w:val="DefaultParagraphFont"/>
    <w:rsid w:val="00A32192"/>
    <w:rPr>
      <w:rFonts w:ascii="Symbol" w:hAnsi="Symbol"/>
    </w:rPr>
  </w:style>
  <w:style w:type="character" w:customStyle="1" w:styleId="MenuOptions">
    <w:name w:val="Menu Options"/>
    <w:basedOn w:val="DefaultParagraphFont"/>
    <w:rsid w:val="00A321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192"/>
    <w:rPr>
      <w:b/>
    </w:rPr>
  </w:style>
  <w:style w:type="character" w:customStyle="1" w:styleId="Underlined">
    <w:name w:val="Underlined"/>
    <w:basedOn w:val="DefaultParagraphFont"/>
    <w:rsid w:val="00A32192"/>
    <w:rPr>
      <w:u w:val="single"/>
    </w:rPr>
  </w:style>
  <w:style w:type="paragraph" w:customStyle="1" w:styleId="TableBodyTextRight">
    <w:name w:val="Table Body Text Right"/>
    <w:basedOn w:val="TableBodyText"/>
    <w:rsid w:val="00A321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192"/>
    <w:rPr>
      <w:sz w:val="18"/>
    </w:rPr>
  </w:style>
  <w:style w:type="paragraph" w:customStyle="1" w:styleId="BodySmallRight">
    <w:name w:val="Body Small Right"/>
    <w:basedOn w:val="BodyTextRight"/>
    <w:rsid w:val="00A32192"/>
    <w:rPr>
      <w:sz w:val="18"/>
      <w:szCs w:val="18"/>
    </w:rPr>
  </w:style>
  <w:style w:type="paragraph" w:customStyle="1" w:styleId="MarginEdition">
    <w:name w:val="Margin Edition"/>
    <w:basedOn w:val="MarginNote"/>
    <w:rsid w:val="00A321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192"/>
    <w:rPr>
      <w:sz w:val="2"/>
      <w:szCs w:val="2"/>
    </w:rPr>
  </w:style>
  <w:style w:type="character" w:customStyle="1" w:styleId="Small">
    <w:name w:val="Small"/>
    <w:basedOn w:val="DefaultParagraphFont"/>
    <w:rsid w:val="00A32192"/>
    <w:rPr>
      <w:sz w:val="16"/>
    </w:rPr>
  </w:style>
  <w:style w:type="paragraph" w:customStyle="1" w:styleId="WideTable">
    <w:name w:val="Wide Table"/>
    <w:basedOn w:val="Normal"/>
    <w:rsid w:val="00A321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192"/>
  </w:style>
  <w:style w:type="paragraph" w:styleId="Quote">
    <w:name w:val="Quote"/>
    <w:basedOn w:val="Heading1"/>
    <w:link w:val="QuoteChar"/>
    <w:qFormat/>
    <w:rsid w:val="00A321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1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192"/>
    <w:pPr>
      <w:pageBreakBefore/>
    </w:pPr>
  </w:style>
  <w:style w:type="paragraph" w:customStyle="1" w:styleId="Border">
    <w:name w:val="Border"/>
    <w:basedOn w:val="Normal"/>
    <w:qFormat/>
    <w:rsid w:val="00A321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1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1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1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1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1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1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1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1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192"/>
    <w:rPr>
      <w:u w:val="single"/>
    </w:rPr>
  </w:style>
  <w:style w:type="character" w:customStyle="1" w:styleId="BoldandItalics">
    <w:name w:val="Bold and Italics"/>
    <w:qFormat/>
    <w:rsid w:val="00A32192"/>
    <w:rPr>
      <w:b/>
      <w:i/>
      <w:u w:val="none"/>
    </w:rPr>
  </w:style>
  <w:style w:type="paragraph" w:styleId="BalloonText">
    <w:name w:val="Balloon Text"/>
    <w:basedOn w:val="Normal"/>
    <w:link w:val="BalloonTextChar"/>
    <w:rsid w:val="00A32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1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1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1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1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1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192"/>
    <w:pPr>
      <w:spacing w:before="0" w:after="0"/>
    </w:pPr>
  </w:style>
  <w:style w:type="paragraph" w:customStyle="1" w:styleId="BodyTextBold">
    <w:name w:val="Body Text Bold"/>
    <w:basedOn w:val="BodyText"/>
    <w:qFormat/>
    <w:rsid w:val="00A32192"/>
    <w:rPr>
      <w:b/>
    </w:rPr>
  </w:style>
  <w:style w:type="character" w:styleId="Hyperlink">
    <w:name w:val="Hyperlink"/>
    <w:basedOn w:val="DefaultParagraphFont"/>
    <w:uiPriority w:val="99"/>
    <w:unhideWhenUsed/>
    <w:rsid w:val="007C1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3169</Characters>
  <Application>Microsoft Office Word</Application>
  <DocSecurity>0</DocSecurity>
  <Lines>88</Lines>
  <Paragraphs>81</Paragraphs>
  <ScaleCrop>false</ScaleCrop>
  <Company>Author-it Software Corporation Ltd.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CPPREP4124 End tenancy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2022-12-19T06:53:00Z</dcterms:created>
  <dcterms:modified xsi:type="dcterms:W3CDTF">2022-12-19T06:53:00Z</dcterms:modified>
</cp:coreProperties>
</file>