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9E3" w:rsidP="002C0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CPPREP4123 Manage tenancy</w:t>
      </w:r>
      <w:r>
        <w:fldChar w:fldCharType="end"/>
      </w:r>
    </w:p>
    <w:p w:rsidR="002C09E3" w:rsidP="002C09E3">
      <w:pPr>
        <w:pStyle w:val="Version"/>
        <w:sectPr w:rsidSect="00300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BB3" w:rsidP="00300BB3">
      <w:pPr>
        <w:pStyle w:val="SuperHeading"/>
      </w:pPr>
      <w:r w:rsidRPr="00300BB3">
        <w:t>Assessment Requirements for CPPREP4123 Manage tenancy</w:t>
      </w:r>
    </w:p>
    <w:p w:rsidR="00000000" w:rsidRPr="00300BB3" w:rsidP="00300BB3">
      <w:pPr>
        <w:pStyle w:val="Heading1"/>
      </w:pPr>
      <w:bookmarkStart w:id="1" w:name="O_1020721"/>
      <w:bookmarkEnd w:id="1"/>
      <w:r w:rsidRPr="00300B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00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BB3">
            <w:pPr>
              <w:pStyle w:val="BodyText"/>
              <w:rPr>
                <w:lang w:val="en-NZ"/>
              </w:rPr>
            </w:pPr>
            <w:r w:rsidRPr="00300BB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BB3" w:rsidP="00300BB3">
            <w:pPr>
              <w:pStyle w:val="BodyText"/>
            </w:pPr>
            <w:r w:rsidRPr="00300BB3">
              <w:t>This version first released with CPP Property Services Training Package Release 8.0.</w:t>
            </w:r>
          </w:p>
          <w:p w:rsidR="00000000" w:rsidRPr="00300BB3" w:rsidP="00300BB3">
            <w:pPr>
              <w:pStyle w:val="BodyText"/>
            </w:pPr>
            <w:r w:rsidRPr="00300BB3">
              <w:t>Supersedes but is not equivalent to CPPDSM4049 Implement maintenance program for managed properties.</w:t>
            </w:r>
          </w:p>
          <w:p w:rsidR="00000000" w:rsidRPr="00300BB3" w:rsidP="00300BB3">
            <w:pPr>
              <w:pStyle w:val="BodyText"/>
            </w:pPr>
            <w:r w:rsidRPr="00300BB3">
              <w:t>Updated to the Standa</w:t>
            </w:r>
            <w:r w:rsidRPr="00300BB3">
              <w:t>rds for Training Packages.</w:t>
            </w:r>
          </w:p>
        </w:tc>
      </w:tr>
    </w:tbl>
    <w:p w:rsidR="00000000" w:rsidRPr="00300BB3" w:rsidP="00300BB3">
      <w:pPr>
        <w:pStyle w:val="BodyText"/>
      </w:pPr>
    </w:p>
    <w:p w:rsidR="00000000" w:rsidRPr="00300BB3" w:rsidP="00300BB3">
      <w:pPr>
        <w:pStyle w:val="AllowPageBreak"/>
      </w:pPr>
    </w:p>
    <w:p w:rsidR="00000000" w:rsidRPr="00300BB3" w:rsidP="00300BB3">
      <w:pPr>
        <w:pStyle w:val="Heading1"/>
      </w:pPr>
      <w:bookmarkStart w:id="2" w:name="O_1020724"/>
      <w:bookmarkEnd w:id="2"/>
      <w:r w:rsidRPr="00300BB3">
        <w:t>Performance Evidence</w:t>
      </w:r>
    </w:p>
    <w:p w:rsidR="00000000" w:rsidRPr="00300BB3" w:rsidP="002C09E3">
      <w:pPr>
        <w:pStyle w:val="BodyText"/>
      </w:pPr>
      <w:r w:rsidRPr="00300BB3">
        <w:t>To demonstrate competency in this unit, a person must manage tenancy for two different properties and for each property:</w:t>
      </w:r>
    </w:p>
    <w:p w:rsidR="00000000" w:rsidRPr="00300BB3" w:rsidP="00300BB3">
      <w:pPr>
        <w:pStyle w:val="ListBullet"/>
      </w:pPr>
      <w:r w:rsidRPr="00300BB3">
        <w:t>respond to one issue that may affect tenancy terms and conditions</w:t>
      </w:r>
      <w:r w:rsidRPr="00300BB3">
        <w:t xml:space="preserve"> </w:t>
      </w:r>
    </w:p>
    <w:p w:rsidR="00000000" w:rsidRPr="00300BB3" w:rsidP="00300BB3">
      <w:pPr>
        <w:pStyle w:val="ListBullet"/>
      </w:pPr>
      <w:r w:rsidRPr="00300BB3">
        <w:t>outline and complete processes for managing the ongoing tenancy agreement</w:t>
      </w:r>
    </w:p>
    <w:p w:rsidR="00000000" w:rsidRPr="00300BB3" w:rsidP="00300BB3">
      <w:pPr>
        <w:pStyle w:val="ListBullet"/>
      </w:pPr>
      <w:r w:rsidRPr="00300BB3">
        <w:t>manage property inspections for routine maintenance.</w:t>
      </w:r>
    </w:p>
    <w:p w:rsidR="00000000" w:rsidRPr="00300BB3" w:rsidP="002C09E3">
      <w:pPr>
        <w:pStyle w:val="BodyText"/>
      </w:pPr>
      <w:r w:rsidRPr="00300BB3">
        <w:t>In doing this, the person must meet the performance criteria for this unit.</w:t>
      </w:r>
    </w:p>
    <w:p w:rsidR="00000000" w:rsidRPr="00300BB3" w:rsidP="00300BB3">
      <w:pPr>
        <w:pStyle w:val="Heading1"/>
      </w:pPr>
      <w:bookmarkStart w:id="3" w:name="O_1020723"/>
      <w:bookmarkEnd w:id="3"/>
      <w:r w:rsidRPr="00300BB3">
        <w:t>Knowledge Evidence</w:t>
      </w:r>
    </w:p>
    <w:p w:rsidR="00000000" w:rsidRPr="00300BB3" w:rsidP="002C09E3">
      <w:pPr>
        <w:pStyle w:val="BodyText"/>
      </w:pPr>
      <w:r w:rsidRPr="00300BB3">
        <w:t>To be competent in this unit, a person must demonstrate knowledge of:</w:t>
      </w:r>
    </w:p>
    <w:p w:rsidR="00000000" w:rsidRPr="00300BB3" w:rsidP="00300BB3">
      <w:pPr>
        <w:pStyle w:val="ListBullet"/>
      </w:pPr>
      <w:r w:rsidRPr="00300BB3">
        <w:t>legislation relating to property management in the state or territory of operation</w:t>
      </w:r>
    </w:p>
    <w:p w:rsidR="00000000" w:rsidRPr="00300BB3" w:rsidP="00300BB3">
      <w:pPr>
        <w:pStyle w:val="ListBullet"/>
      </w:pPr>
      <w:r w:rsidRPr="00300BB3">
        <w:t>role and responsibilities of landlord and agent in managing tenancy</w:t>
      </w:r>
    </w:p>
    <w:p w:rsidR="00000000" w:rsidRPr="00300BB3" w:rsidP="00300BB3">
      <w:pPr>
        <w:pStyle w:val="ListBullet"/>
      </w:pPr>
      <w:r w:rsidRPr="00300BB3">
        <w:t>ethical practice associated with t</w:t>
      </w:r>
      <w:r w:rsidRPr="00300BB3">
        <w:t>enancy agreements, including disclosure</w:t>
      </w:r>
    </w:p>
    <w:p w:rsidR="00000000" w:rsidRPr="00300BB3" w:rsidP="00300BB3">
      <w:pPr>
        <w:pStyle w:val="ListBullet"/>
      </w:pPr>
      <w:r w:rsidRPr="00300BB3">
        <w:t>inspection of tenanted premises:</w:t>
      </w:r>
    </w:p>
    <w:p w:rsidR="00000000" w:rsidRPr="00300BB3" w:rsidP="00300BB3">
      <w:pPr>
        <w:pStyle w:val="ListBullet2"/>
      </w:pPr>
      <w:r w:rsidRPr="00300BB3">
        <w:t>notice periods</w:t>
      </w:r>
    </w:p>
    <w:p w:rsidR="00000000" w:rsidRPr="00300BB3" w:rsidP="00300BB3">
      <w:pPr>
        <w:pStyle w:val="ListBullet2"/>
      </w:pPr>
      <w:r w:rsidRPr="00300BB3">
        <w:t>inspection reports</w:t>
      </w:r>
    </w:p>
    <w:p w:rsidR="00000000" w:rsidRPr="00300BB3" w:rsidP="00300BB3">
      <w:pPr>
        <w:pStyle w:val="ListBullet2"/>
      </w:pPr>
      <w:r w:rsidRPr="00300BB3">
        <w:t>communication to landlord and tenant</w:t>
      </w:r>
    </w:p>
    <w:p w:rsidR="00000000" w:rsidRPr="00300BB3" w:rsidP="00300BB3">
      <w:pPr>
        <w:pStyle w:val="ListBullet2"/>
      </w:pPr>
      <w:r w:rsidRPr="00300BB3">
        <w:t>authority of agent</w:t>
      </w:r>
    </w:p>
    <w:p w:rsidR="00000000" w:rsidRPr="00300BB3" w:rsidP="00300BB3">
      <w:pPr>
        <w:pStyle w:val="ListBullet"/>
      </w:pPr>
      <w:r w:rsidRPr="00300BB3">
        <w:t>rent:</w:t>
      </w:r>
    </w:p>
    <w:p w:rsidR="00000000" w:rsidRPr="00300BB3" w:rsidP="00300BB3">
      <w:pPr>
        <w:pStyle w:val="ListBullet2"/>
      </w:pPr>
      <w:r w:rsidRPr="00300BB3">
        <w:t>arrears</w:t>
      </w:r>
    </w:p>
    <w:p w:rsidR="00000000" w:rsidRPr="00300BB3" w:rsidP="00300BB3">
      <w:pPr>
        <w:pStyle w:val="ListBullet2"/>
      </w:pPr>
      <w:r w:rsidRPr="00300BB3">
        <w:t>increases</w:t>
      </w:r>
    </w:p>
    <w:p w:rsidR="00000000" w:rsidRPr="00300BB3" w:rsidP="00300BB3">
      <w:pPr>
        <w:pStyle w:val="ListBullet2"/>
      </w:pPr>
      <w:r w:rsidRPr="00300BB3">
        <w:t>reviews</w:t>
      </w:r>
    </w:p>
    <w:p w:rsidR="00000000" w:rsidRPr="00300BB3" w:rsidP="00300BB3">
      <w:pPr>
        <w:pStyle w:val="ListBullet"/>
      </w:pPr>
      <w:r w:rsidRPr="00300BB3">
        <w:t xml:space="preserve">assigning or subletting and legislative requirements </w:t>
      </w:r>
    </w:p>
    <w:p w:rsidR="00000000" w:rsidRPr="00300BB3" w:rsidP="00300BB3">
      <w:pPr>
        <w:pStyle w:val="ListBullet"/>
      </w:pPr>
      <w:r w:rsidRPr="00300BB3">
        <w:t>renewal of leases and tenancy agreements:</w:t>
      </w:r>
    </w:p>
    <w:p w:rsidR="00000000" w:rsidRPr="00300BB3" w:rsidP="00300BB3">
      <w:pPr>
        <w:pStyle w:val="ListBullet2"/>
      </w:pPr>
      <w:r w:rsidRPr="00300BB3">
        <w:t xml:space="preserve">renewal strategies for different types of property </w:t>
      </w:r>
    </w:p>
    <w:p w:rsidR="00000000" w:rsidRPr="00300BB3" w:rsidP="00300BB3">
      <w:pPr>
        <w:pStyle w:val="ListBullet2"/>
      </w:pPr>
      <w:r w:rsidRPr="00300BB3">
        <w:t>scheduling tenancy renewals</w:t>
      </w:r>
    </w:p>
    <w:p w:rsidR="00000000" w:rsidRPr="00300BB3" w:rsidP="00300BB3">
      <w:pPr>
        <w:pStyle w:val="ListBullet2"/>
      </w:pPr>
      <w:r w:rsidRPr="00300BB3">
        <w:t>strategies for gaining tenancy renewals</w:t>
      </w:r>
    </w:p>
    <w:p w:rsidR="00000000" w:rsidRPr="00300BB3" w:rsidP="00300BB3">
      <w:pPr>
        <w:pStyle w:val="ListBullet2"/>
      </w:pPr>
      <w:r w:rsidRPr="00300BB3">
        <w:t xml:space="preserve">tenancy lease and renewal patterns </w:t>
      </w:r>
    </w:p>
    <w:p w:rsidR="00000000" w:rsidRPr="00300BB3" w:rsidP="00300BB3">
      <w:pPr>
        <w:pStyle w:val="ListBullet"/>
      </w:pPr>
      <w:r w:rsidRPr="00300BB3">
        <w:t>re-letting procedures and legislative requirements</w:t>
      </w:r>
    </w:p>
    <w:p w:rsidR="00000000" w:rsidRPr="00300BB3" w:rsidP="00300BB3">
      <w:pPr>
        <w:pStyle w:val="ListBullet"/>
      </w:pPr>
      <w:r w:rsidRPr="00300BB3">
        <w:t>proce</w:t>
      </w:r>
      <w:r w:rsidRPr="00300BB3">
        <w:t>sses for receiving and responding to tenant requests</w:t>
      </w:r>
    </w:p>
    <w:p w:rsidR="00000000" w:rsidRPr="00300BB3" w:rsidP="00300BB3">
      <w:pPr>
        <w:pStyle w:val="ListBullet"/>
      </w:pPr>
      <w:r w:rsidRPr="00300BB3">
        <w:t>criteria and processes for urgent and non-urgent repairs according to legislative requirements in the state or territory of operation</w:t>
      </w:r>
    </w:p>
    <w:p w:rsidR="00000000" w:rsidRPr="00300BB3" w:rsidP="00300BB3">
      <w:pPr>
        <w:pStyle w:val="ListBullet"/>
      </w:pPr>
      <w:r w:rsidRPr="00300BB3">
        <w:t>purpose of cyclical or scheduled maintenance plans and asset life cyc</w:t>
      </w:r>
      <w:r w:rsidRPr="00300BB3">
        <w:t>les</w:t>
      </w:r>
    </w:p>
    <w:p w:rsidR="00000000" w:rsidRPr="00300BB3" w:rsidP="00300BB3">
      <w:pPr>
        <w:pStyle w:val="ListBullet"/>
      </w:pPr>
      <w:r w:rsidRPr="00300BB3">
        <w:t xml:space="preserve">budgets and financial reporting </w:t>
      </w:r>
    </w:p>
    <w:p w:rsidR="00000000" w:rsidRPr="00300BB3" w:rsidP="00300BB3">
      <w:pPr>
        <w:pStyle w:val="ListBullet"/>
      </w:pPr>
      <w:r w:rsidRPr="00300BB3">
        <w:t xml:space="preserve">scope of authority and imitations of work role, responsibility and professional abilities </w:t>
      </w:r>
    </w:p>
    <w:p w:rsidR="00000000" w:rsidRPr="00300BB3" w:rsidP="00300BB3">
      <w:pPr>
        <w:pStyle w:val="ListBullet"/>
      </w:pPr>
      <w:r w:rsidRPr="00300BB3">
        <w:t>relevant building service, trades and operation for maintenance requirements</w:t>
      </w:r>
    </w:p>
    <w:p w:rsidR="00000000" w:rsidRPr="00300BB3" w:rsidP="00300BB3">
      <w:pPr>
        <w:pStyle w:val="ListBullet"/>
      </w:pPr>
      <w:r w:rsidRPr="00300BB3">
        <w:t>sources of advice about standards and specification</w:t>
      </w:r>
      <w:r w:rsidRPr="00300BB3">
        <w:t>s for repairs and maintenance</w:t>
      </w:r>
    </w:p>
    <w:p w:rsidR="00000000" w:rsidRPr="00300BB3" w:rsidP="00300BB3">
      <w:pPr>
        <w:pStyle w:val="ListBullet"/>
      </w:pPr>
      <w:r w:rsidRPr="00300BB3">
        <w:t>advice that must be given to tenants in the state or territory of operation</w:t>
      </w:r>
    </w:p>
    <w:p w:rsidR="00000000" w:rsidRPr="00300BB3" w:rsidP="00300BB3">
      <w:pPr>
        <w:pStyle w:val="ListBullet"/>
      </w:pPr>
      <w:r w:rsidRPr="00300BB3">
        <w:t>tenancy record keeping policies and procedures</w:t>
      </w:r>
    </w:p>
    <w:p w:rsidR="00000000" w:rsidRPr="00300BB3" w:rsidP="00300BB3">
      <w:pPr>
        <w:pStyle w:val="ListBullet"/>
      </w:pPr>
      <w:r w:rsidRPr="00300BB3">
        <w:t>privacy standards and confidentiality in relation to tenant and landlord</w:t>
      </w:r>
    </w:p>
    <w:p w:rsidR="00000000" w:rsidRPr="00300BB3" w:rsidP="00300BB3">
      <w:pPr>
        <w:pStyle w:val="ListBullet"/>
      </w:pPr>
      <w:r w:rsidRPr="00300BB3">
        <w:t>agency property records:</w:t>
      </w:r>
    </w:p>
    <w:p w:rsidR="00000000" w:rsidRPr="00300BB3" w:rsidP="00300BB3">
      <w:pPr>
        <w:pStyle w:val="ListBullet2"/>
      </w:pPr>
      <w:r w:rsidRPr="00300BB3">
        <w:t xml:space="preserve">key features of a records management system </w:t>
      </w:r>
    </w:p>
    <w:p w:rsidR="00000000" w:rsidRPr="00300BB3" w:rsidP="00300BB3">
      <w:pPr>
        <w:pStyle w:val="ListBullet2"/>
      </w:pPr>
      <w:r w:rsidRPr="00300BB3">
        <w:t>reasons for maintaining property records</w:t>
      </w:r>
    </w:p>
    <w:p w:rsidR="00000000" w:rsidRPr="00300BB3" w:rsidP="00300BB3">
      <w:pPr>
        <w:pStyle w:val="ListBullet2"/>
      </w:pPr>
      <w:r w:rsidRPr="00300BB3">
        <w:t>types of property records.</w:t>
      </w:r>
    </w:p>
    <w:p w:rsidR="00000000" w:rsidRPr="00300BB3" w:rsidP="00300BB3">
      <w:pPr>
        <w:pStyle w:val="AllowPageBreak"/>
      </w:pPr>
    </w:p>
    <w:p w:rsidR="00000000" w:rsidRPr="00300BB3" w:rsidP="00300BB3">
      <w:pPr>
        <w:pStyle w:val="Heading1"/>
      </w:pPr>
      <w:bookmarkStart w:id="4" w:name="O_1020722"/>
      <w:bookmarkEnd w:id="4"/>
      <w:r w:rsidRPr="00300BB3">
        <w:t>Assessment Conditions</w:t>
      </w:r>
    </w:p>
    <w:p w:rsidR="00000000" w:rsidRPr="00300BB3" w:rsidP="002C09E3">
      <w:pPr>
        <w:pStyle w:val="BodyText"/>
      </w:pPr>
      <w:r w:rsidRPr="00300BB3">
        <w:t xml:space="preserve">Assessors must satisfy the requirements for assessors listed in the Standards for Registered Training </w:t>
      </w:r>
      <w:r w:rsidRPr="00300BB3">
        <w:t xml:space="preserve">Organisations. </w:t>
      </w:r>
    </w:p>
    <w:p w:rsidR="00000000" w:rsidRPr="00300BB3" w:rsidP="002C09E3">
      <w:pPr>
        <w:pStyle w:val="BodyText"/>
      </w:pPr>
      <w:r w:rsidRPr="00300BB3">
        <w:t>Assessment must be conducted in the workplace or in a simulated workplace environment.</w:t>
      </w:r>
    </w:p>
    <w:p w:rsidR="00000000" w:rsidRPr="00300BB3" w:rsidP="002C09E3">
      <w:pPr>
        <w:pStyle w:val="BodyText"/>
      </w:pPr>
      <w:r w:rsidRPr="00300BB3">
        <w:t>Assessors are responsible for ensuring that the person demonstrating competency has access to:</w:t>
      </w:r>
    </w:p>
    <w:p w:rsidR="00000000" w:rsidRPr="00300BB3" w:rsidP="00300BB3">
      <w:pPr>
        <w:pStyle w:val="ListBullet"/>
      </w:pPr>
      <w:r w:rsidRPr="00300BB3">
        <w:t>agency procedures, forms, documents and portfolios for re</w:t>
      </w:r>
      <w:r w:rsidRPr="00300BB3">
        <w:t>ntal properties</w:t>
      </w:r>
    </w:p>
    <w:p w:rsidR="00000000" w:rsidRPr="00300BB3" w:rsidP="00300BB3">
      <w:pPr>
        <w:pStyle w:val="ListBullet"/>
      </w:pPr>
      <w:r w:rsidRPr="00300BB3">
        <w:t>legislation relating to property management, rights and obligations of tenants and landlords in the state or territory of operation.</w:t>
      </w:r>
    </w:p>
    <w:p w:rsidR="00000000" w:rsidRPr="00300BB3" w:rsidP="00300BB3">
      <w:pPr>
        <w:pStyle w:val="AllowPageBreak"/>
      </w:pPr>
    </w:p>
    <w:p w:rsidR="00000000" w:rsidRPr="00300BB3" w:rsidP="00300BB3">
      <w:pPr>
        <w:pStyle w:val="Heading1"/>
      </w:pPr>
      <w:bookmarkStart w:id="5" w:name="O_1020720"/>
      <w:bookmarkEnd w:id="5"/>
      <w:r w:rsidRPr="00300BB3">
        <w:t>Links</w:t>
      </w:r>
    </w:p>
    <w:p w:rsidR="00000000" w:rsidRPr="00300BB3" w:rsidP="002C09E3">
      <w:pPr>
        <w:pStyle w:val="BodyText"/>
      </w:pPr>
      <w:r w:rsidRPr="00300BB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91F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00BB3" w:rsidP="00300BB3"/>
    <w:sectPr w:rsidSect="00300B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B3" w:rsidRPr="002C09E3" w:rsidP="002C0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E3" w:rsidP="00300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9E3" w:rsidP="00300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C09E3" w:rsidP="00300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BB3" w:rsidRPr="002C09E3" w:rsidP="002C0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E3" w:rsidRPr="002D2AF8" w:rsidP="00300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CPPREP4123 Manage tenancy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C09E3" w:rsidP="00300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6A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6ED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60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BB3"/>
  </w:style>
  <w:style w:type="character" w:customStyle="1" w:styleId="Heading1Char">
    <w:name w:val="Heading 1 Char"/>
    <w:basedOn w:val="DefaultParagraphFont"/>
    <w:link w:val="Heading1"/>
    <w:rsid w:val="00300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B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B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0B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B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BB3"/>
    <w:rPr>
      <w:b/>
      <w:spacing w:val="0"/>
    </w:rPr>
  </w:style>
  <w:style w:type="paragraph" w:customStyle="1" w:styleId="SuperTitle">
    <w:name w:val="SuperTitle"/>
    <w:basedOn w:val="Title"/>
    <w:rsid w:val="00300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B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BB3"/>
    <w:rPr>
      <w:i/>
    </w:rPr>
  </w:style>
  <w:style w:type="paragraph" w:styleId="Caption">
    <w:name w:val="caption"/>
    <w:basedOn w:val="BodyText"/>
    <w:next w:val="Normal"/>
    <w:qFormat/>
    <w:rsid w:val="00300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BB3"/>
  </w:style>
  <w:style w:type="paragraph" w:styleId="TableofFigures">
    <w:name w:val="table of figures"/>
    <w:basedOn w:val="Normal"/>
    <w:next w:val="Normal"/>
    <w:semiHidden/>
    <w:rsid w:val="00300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B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0BB3"/>
    <w:rPr>
      <w:rFonts w:ascii="Wingdings" w:hAnsi="Wingdings"/>
    </w:rPr>
  </w:style>
  <w:style w:type="paragraph" w:customStyle="1" w:styleId="TableHeading">
    <w:name w:val="Table Heading"/>
    <w:basedOn w:val="HeadingBase"/>
    <w:rsid w:val="00300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BB3"/>
    <w:rPr>
      <w:color w:val="0033CC"/>
      <w:u w:val="none"/>
    </w:rPr>
  </w:style>
  <w:style w:type="paragraph" w:customStyle="1" w:styleId="BodyTextRight">
    <w:name w:val="Body Text Right"/>
    <w:basedOn w:val="BodyText"/>
    <w:rsid w:val="00300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B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BB3"/>
    <w:rPr>
      <w:sz w:val="32"/>
    </w:rPr>
  </w:style>
  <w:style w:type="paragraph" w:customStyle="1" w:styleId="HeadingProcedure">
    <w:name w:val="Heading Procedure"/>
    <w:basedOn w:val="HeadingBase"/>
    <w:next w:val="Normal"/>
    <w:rsid w:val="00300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BB3"/>
    <w:pPr>
      <w:spacing w:before="60" w:after="60"/>
    </w:pPr>
  </w:style>
  <w:style w:type="paragraph" w:styleId="ListContinue">
    <w:name w:val="List Continue"/>
    <w:basedOn w:val="List"/>
    <w:rsid w:val="00300BB3"/>
    <w:pPr>
      <w:ind w:firstLine="0"/>
    </w:pPr>
  </w:style>
  <w:style w:type="paragraph" w:customStyle="1" w:styleId="ListNote">
    <w:name w:val="List Note"/>
    <w:basedOn w:val="List"/>
    <w:rsid w:val="00300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BB3"/>
    <w:rPr>
      <w:rFonts w:ascii="Courier New" w:hAnsi="Courier New"/>
    </w:rPr>
  </w:style>
  <w:style w:type="paragraph" w:customStyle="1" w:styleId="NoteBullet">
    <w:name w:val="Note Bullet"/>
    <w:basedOn w:val="Note"/>
    <w:rsid w:val="00300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B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0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BB3"/>
    <w:rPr>
      <w:b/>
      <w:smallCaps/>
    </w:rPr>
  </w:style>
  <w:style w:type="paragraph" w:customStyle="1" w:styleId="TableListNumber">
    <w:name w:val="Table List Number"/>
    <w:basedOn w:val="ListNumber"/>
    <w:rsid w:val="00300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BB3"/>
    <w:pPr>
      <w:numPr>
        <w:numId w:val="9"/>
      </w:numPr>
    </w:pPr>
  </w:style>
  <w:style w:type="paragraph" w:customStyle="1" w:styleId="ListAlpha2">
    <w:name w:val="List Alpha 2"/>
    <w:basedOn w:val="List2"/>
    <w:rsid w:val="00300BB3"/>
    <w:pPr>
      <w:numPr>
        <w:numId w:val="8"/>
      </w:numPr>
    </w:pPr>
  </w:style>
  <w:style w:type="paragraph" w:styleId="List2">
    <w:name w:val="List 2"/>
    <w:basedOn w:val="BodyText"/>
    <w:rsid w:val="00300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B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B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0BB3"/>
    <w:pPr>
      <w:numPr>
        <w:numId w:val="4"/>
      </w:numPr>
    </w:pPr>
  </w:style>
  <w:style w:type="paragraph" w:styleId="ListContinue2">
    <w:name w:val="List Continue 2"/>
    <w:basedOn w:val="List2"/>
    <w:rsid w:val="00300BB3"/>
    <w:pPr>
      <w:ind w:firstLine="0"/>
    </w:pPr>
  </w:style>
  <w:style w:type="paragraph" w:styleId="ListContinue3">
    <w:name w:val="List Continue 3"/>
    <w:basedOn w:val="List3"/>
    <w:rsid w:val="00300BB3"/>
    <w:pPr>
      <w:ind w:left="1021" w:firstLine="0"/>
    </w:pPr>
  </w:style>
  <w:style w:type="paragraph" w:styleId="ListContinue4">
    <w:name w:val="List Continue 4"/>
    <w:basedOn w:val="List4"/>
    <w:rsid w:val="00300BB3"/>
    <w:pPr>
      <w:ind w:firstLine="0"/>
    </w:pPr>
  </w:style>
  <w:style w:type="paragraph" w:styleId="ListContinue5">
    <w:name w:val="List Continue 5"/>
    <w:basedOn w:val="List5"/>
    <w:rsid w:val="00300BB3"/>
    <w:pPr>
      <w:ind w:firstLine="0"/>
    </w:pPr>
  </w:style>
  <w:style w:type="paragraph" w:styleId="ListNumber3">
    <w:name w:val="List Number 3"/>
    <w:basedOn w:val="List3"/>
    <w:rsid w:val="00300BB3"/>
    <w:pPr>
      <w:numPr>
        <w:numId w:val="5"/>
      </w:numPr>
    </w:pPr>
  </w:style>
  <w:style w:type="paragraph" w:styleId="ListNumber4">
    <w:name w:val="List Number 4"/>
    <w:basedOn w:val="List4"/>
    <w:rsid w:val="00300BB3"/>
    <w:pPr>
      <w:numPr>
        <w:numId w:val="6"/>
      </w:numPr>
    </w:pPr>
  </w:style>
  <w:style w:type="paragraph" w:styleId="ListNumber5">
    <w:name w:val="List Number 5"/>
    <w:basedOn w:val="List5"/>
    <w:rsid w:val="00300BB3"/>
    <w:pPr>
      <w:numPr>
        <w:numId w:val="7"/>
      </w:numPr>
    </w:pPr>
  </w:style>
  <w:style w:type="paragraph" w:styleId="BlockText">
    <w:name w:val="Block Text"/>
    <w:basedOn w:val="Normal"/>
    <w:rsid w:val="00300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BB3"/>
    <w:rPr>
      <w:sz w:val="16"/>
      <w:vertAlign w:val="superscript"/>
    </w:rPr>
  </w:style>
  <w:style w:type="character" w:customStyle="1" w:styleId="Symbols">
    <w:name w:val="Symbols"/>
    <w:basedOn w:val="DefaultParagraphFont"/>
    <w:rsid w:val="00300BB3"/>
    <w:rPr>
      <w:rFonts w:ascii="Symbol" w:hAnsi="Symbol"/>
    </w:rPr>
  </w:style>
  <w:style w:type="character" w:customStyle="1" w:styleId="MenuOptions">
    <w:name w:val="Menu Options"/>
    <w:basedOn w:val="DefaultParagraphFont"/>
    <w:rsid w:val="00300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BB3"/>
    <w:rPr>
      <w:b/>
    </w:rPr>
  </w:style>
  <w:style w:type="character" w:customStyle="1" w:styleId="Underlined">
    <w:name w:val="Underlined"/>
    <w:basedOn w:val="DefaultParagraphFont"/>
    <w:rsid w:val="00300BB3"/>
    <w:rPr>
      <w:u w:val="single"/>
    </w:rPr>
  </w:style>
  <w:style w:type="paragraph" w:customStyle="1" w:styleId="TableBodyTextRight">
    <w:name w:val="Table Body Text Right"/>
    <w:basedOn w:val="TableBodyText"/>
    <w:rsid w:val="00300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BB3"/>
    <w:rPr>
      <w:sz w:val="18"/>
    </w:rPr>
  </w:style>
  <w:style w:type="paragraph" w:customStyle="1" w:styleId="BodySmallRight">
    <w:name w:val="Body Small Right"/>
    <w:basedOn w:val="BodyTextRight"/>
    <w:rsid w:val="00300BB3"/>
    <w:rPr>
      <w:sz w:val="18"/>
      <w:szCs w:val="18"/>
    </w:rPr>
  </w:style>
  <w:style w:type="paragraph" w:customStyle="1" w:styleId="MarginEdition">
    <w:name w:val="Margin Edition"/>
    <w:basedOn w:val="MarginNote"/>
    <w:rsid w:val="00300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BB3"/>
    <w:rPr>
      <w:sz w:val="2"/>
      <w:szCs w:val="2"/>
    </w:rPr>
  </w:style>
  <w:style w:type="character" w:customStyle="1" w:styleId="Small">
    <w:name w:val="Small"/>
    <w:basedOn w:val="DefaultParagraphFont"/>
    <w:rsid w:val="00300BB3"/>
    <w:rPr>
      <w:sz w:val="16"/>
    </w:rPr>
  </w:style>
  <w:style w:type="paragraph" w:customStyle="1" w:styleId="WideTable">
    <w:name w:val="Wide Table"/>
    <w:basedOn w:val="Normal"/>
    <w:rsid w:val="00300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BB3"/>
  </w:style>
  <w:style w:type="paragraph" w:styleId="Quote">
    <w:name w:val="Quote"/>
    <w:basedOn w:val="Heading1"/>
    <w:link w:val="QuoteChar"/>
    <w:qFormat/>
    <w:rsid w:val="00300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BB3"/>
    <w:pPr>
      <w:pageBreakBefore/>
    </w:pPr>
  </w:style>
  <w:style w:type="paragraph" w:customStyle="1" w:styleId="Border">
    <w:name w:val="Border"/>
    <w:basedOn w:val="Normal"/>
    <w:qFormat/>
    <w:rsid w:val="00300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BB3"/>
    <w:rPr>
      <w:u w:val="single"/>
    </w:rPr>
  </w:style>
  <w:style w:type="character" w:customStyle="1" w:styleId="BoldandItalics">
    <w:name w:val="Bold and Italics"/>
    <w:qFormat/>
    <w:rsid w:val="00300BB3"/>
    <w:rPr>
      <w:b/>
      <w:i/>
      <w:u w:val="none"/>
    </w:rPr>
  </w:style>
  <w:style w:type="paragraph" w:styleId="BalloonText">
    <w:name w:val="Balloon Text"/>
    <w:basedOn w:val="Normal"/>
    <w:link w:val="BalloonTextChar"/>
    <w:rsid w:val="00300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BB3"/>
    <w:pPr>
      <w:spacing w:before="0" w:after="0"/>
    </w:pPr>
  </w:style>
  <w:style w:type="paragraph" w:customStyle="1" w:styleId="BodyTextBold">
    <w:name w:val="Body Text Bold"/>
    <w:basedOn w:val="BodyText"/>
    <w:qFormat/>
    <w:rsid w:val="00300BB3"/>
    <w:rPr>
      <w:b/>
    </w:rPr>
  </w:style>
  <w:style w:type="character" w:styleId="Hyperlink">
    <w:name w:val="Hyperlink"/>
    <w:basedOn w:val="DefaultParagraphFont"/>
    <w:uiPriority w:val="99"/>
    <w:unhideWhenUsed/>
    <w:rsid w:val="002C0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2885</Characters>
  <Application>Microsoft Office Word</Application>
  <DocSecurity>0</DocSecurity>
  <Lines>75</Lines>
  <Paragraphs>67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CPPREP4123 Manage tenancy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