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8DE" w:rsidP="00261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CPPREP4122 Manage tenant relationships</w:t>
      </w:r>
      <w:r>
        <w:fldChar w:fldCharType="end"/>
      </w:r>
    </w:p>
    <w:p w:rsidR="002618DE" w:rsidP="002618DE">
      <w:pPr>
        <w:pStyle w:val="Version"/>
        <w:sectPr w:rsidSect="00857B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BF2" w:rsidP="00857BF2">
      <w:pPr>
        <w:pStyle w:val="SuperHeading"/>
      </w:pPr>
      <w:r w:rsidRPr="00857BF2">
        <w:t>CPPREP4122 Manage tenant relationships</w:t>
      </w:r>
    </w:p>
    <w:p w:rsidR="00000000" w:rsidRPr="00857BF2" w:rsidP="00857BF2">
      <w:pPr>
        <w:pStyle w:val="Heading1"/>
      </w:pPr>
      <w:bookmarkStart w:id="1" w:name="O_1020708"/>
      <w:bookmarkEnd w:id="1"/>
      <w:r w:rsidRPr="00857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F2" w:rsidP="00857BF2">
            <w:pPr>
              <w:pStyle w:val="BodyText"/>
            </w:pPr>
            <w:r w:rsidRPr="00857BF2">
              <w:t>This version first released with CPP Property Services Training Package Release 8.0.</w:t>
            </w:r>
          </w:p>
          <w:p w:rsidR="00000000" w:rsidRPr="00857BF2" w:rsidP="00857BF2">
            <w:pPr>
              <w:pStyle w:val="BodyText"/>
            </w:pPr>
            <w:r w:rsidRPr="00857BF2">
              <w:t>Supersedes but is not equivalent to CPPDSM4046A Manage tenancy disputes.</w:t>
            </w:r>
          </w:p>
          <w:p w:rsidR="00000000" w:rsidRPr="00857BF2" w:rsidP="00857BF2">
            <w:pPr>
              <w:pStyle w:val="BodyText"/>
            </w:pPr>
            <w:r w:rsidRPr="00857BF2">
              <w:t>Updated to the Standards for Training Packages.</w:t>
            </w:r>
          </w:p>
        </w:tc>
      </w:tr>
    </w:tbl>
    <w:p w:rsidR="00000000" w:rsidRPr="00857BF2" w:rsidP="00857BF2">
      <w:pPr>
        <w:pStyle w:val="BodyText"/>
      </w:pPr>
    </w:p>
    <w:p w:rsidR="00000000" w:rsidRPr="00857BF2" w:rsidP="00857BF2">
      <w:pPr>
        <w:pStyle w:val="AllowPageBreak"/>
      </w:pPr>
    </w:p>
    <w:p w:rsidR="00000000" w:rsidRPr="00857BF2" w:rsidP="00857BF2">
      <w:pPr>
        <w:pStyle w:val="Heading1"/>
      </w:pPr>
      <w:bookmarkStart w:id="2" w:name="O_1020714"/>
      <w:bookmarkEnd w:id="2"/>
      <w:r w:rsidRPr="00857BF2">
        <w:t>Application</w:t>
      </w:r>
    </w:p>
    <w:p w:rsidR="00000000" w:rsidRPr="00857BF2" w:rsidP="002618DE">
      <w:pPr>
        <w:pStyle w:val="BodyText"/>
      </w:pPr>
      <w:r w:rsidRPr="00857BF2">
        <w:t>This unit specifies the skills and knowledge required to establish tenant relationships in property management.</w:t>
      </w:r>
    </w:p>
    <w:p w:rsidR="00000000" w:rsidRPr="00857BF2" w:rsidP="002618DE">
      <w:pPr>
        <w:pStyle w:val="BodyText"/>
      </w:pPr>
      <w:r w:rsidRPr="00857BF2">
        <w:t>It includes responding to enquiries from tenants, establishing details and profile of potential tenants, matching tenants with pro</w:t>
      </w:r>
      <w:r w:rsidRPr="00857BF2">
        <w:t>perties, aligning landlord and tenant expectations, managing relationships and maintaining records of interactions.</w:t>
      </w:r>
    </w:p>
    <w:p w:rsidR="00000000" w:rsidRPr="00857BF2" w:rsidP="002618DE">
      <w:pPr>
        <w:pStyle w:val="BodyText"/>
      </w:pPr>
      <w:r w:rsidRPr="00857BF2">
        <w:t xml:space="preserve">This unit applies to people currently working in or seeking to work in real estate. </w:t>
      </w:r>
    </w:p>
    <w:p w:rsidR="00000000" w:rsidRPr="00857BF2" w:rsidP="002618DE">
      <w:pPr>
        <w:pStyle w:val="BodyText"/>
      </w:pPr>
      <w:r w:rsidRPr="00857BF2">
        <w:t xml:space="preserve">State or territory licensing requirements may apply to </w:t>
      </w:r>
      <w:r w:rsidRPr="00857BF2">
        <w:t>this unit.</w:t>
      </w:r>
    </w:p>
    <w:p w:rsidR="00000000" w:rsidRPr="00857BF2" w:rsidP="00857BF2">
      <w:pPr>
        <w:pStyle w:val="Heading1"/>
      </w:pPr>
      <w:bookmarkStart w:id="3" w:name="O_1020713"/>
      <w:bookmarkEnd w:id="3"/>
      <w:r w:rsidRPr="00857BF2">
        <w:t>Pre-requisite Unit</w:t>
      </w:r>
    </w:p>
    <w:p w:rsidR="00000000" w:rsidRPr="00857BF2" w:rsidP="002618DE">
      <w:pPr>
        <w:pStyle w:val="BodyText"/>
      </w:pPr>
      <w:r w:rsidRPr="00857BF2">
        <w:t>Nil</w:t>
      </w:r>
    </w:p>
    <w:p w:rsidR="00000000" w:rsidRPr="00857BF2" w:rsidP="00857BF2">
      <w:pPr>
        <w:pStyle w:val="Heading1"/>
      </w:pPr>
      <w:bookmarkStart w:id="4" w:name="O_1020712"/>
      <w:bookmarkEnd w:id="4"/>
      <w:r w:rsidRPr="00857BF2">
        <w:t>Unit Sector</w:t>
      </w:r>
    </w:p>
    <w:p w:rsidR="00000000" w:rsidRPr="00857BF2" w:rsidP="002618DE">
      <w:pPr>
        <w:pStyle w:val="BodyText"/>
      </w:pPr>
      <w:r w:rsidRPr="00857BF2">
        <w:t>Real estate</w:t>
      </w:r>
    </w:p>
    <w:p w:rsidR="00000000" w:rsidRPr="00857BF2" w:rsidP="00857BF2">
      <w:pPr>
        <w:pStyle w:val="Heading1"/>
      </w:pPr>
      <w:bookmarkStart w:id="5" w:name="O_1020711"/>
      <w:bookmarkEnd w:id="5"/>
      <w:r w:rsidRPr="00857B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Performance criteria describe the performance needed to demonstrate achievement of the element.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Respond to tenant enquiry.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Document source of tenant enquiry.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Confirm tenant needs and expectations to create tenant profile.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Determine suitability of property for tenant to inspect.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Provide tenant with information about the property including application information.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Conduct property inspection with tenant.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F2" w:rsidP="00857BF2">
            <w:pPr>
              <w:pStyle w:val="BodyText"/>
            </w:pPr>
            <w:r w:rsidRPr="00857BF2">
              <w:t>Select tenant for property.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Review tenant profile and assess it against selection criteria for suitability for property.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Confirm tenant references and document outcomes.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Make recommendations to landlord about tenant selection.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Provide tenancy documentation.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 xml:space="preserve">Prepare tenancy documentation, including agreement, condition report and documentation, according to requirements in the state or territory of operation. 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Explain conditions of tenancy agreement, condition report and other documents to tenant.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Explain entry cost to tenant and requirements of payment.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Commence tenancy.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Complete tenancy documentation according to statutory and agency requirements and provide tenant with copies.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Provide keys and security devices to tenant.</w:t>
            </w:r>
          </w:p>
        </w:tc>
      </w:tr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F2" w:rsidP="00857BF2">
            <w:pPr>
              <w:pStyle w:val="BodyText"/>
            </w:pPr>
            <w:r w:rsidRPr="00857BF2">
              <w:t>Advise tenant about contact people within property management team for issues arising during tenancy.</w:t>
            </w:r>
          </w:p>
        </w:tc>
      </w:tr>
    </w:tbl>
    <w:p w:rsidR="00000000" w:rsidRPr="00857BF2" w:rsidP="00857BF2">
      <w:pPr>
        <w:pStyle w:val="BodyText"/>
      </w:pPr>
    </w:p>
    <w:p w:rsidR="00000000" w:rsidRPr="00857BF2" w:rsidP="00857BF2">
      <w:pPr>
        <w:pStyle w:val="AllowPageBreak"/>
      </w:pPr>
    </w:p>
    <w:p w:rsidR="00000000" w:rsidRPr="00857BF2" w:rsidP="00857BF2">
      <w:pPr>
        <w:pStyle w:val="Heading1"/>
      </w:pPr>
      <w:bookmarkStart w:id="6" w:name="O_1020710"/>
      <w:bookmarkEnd w:id="6"/>
      <w:r w:rsidRPr="00857BF2">
        <w:t>Foundation Skills</w:t>
      </w:r>
    </w:p>
    <w:p w:rsidR="00000000" w:rsidRPr="00857BF2" w:rsidP="002618DE">
      <w:pPr>
        <w:pStyle w:val="BodyText"/>
      </w:pPr>
      <w:r w:rsidRPr="00857BF2">
        <w:t>This section describes the language, literacy, numeracy and employment skills essential to performance in this</w:t>
      </w:r>
      <w:r w:rsidRPr="00857BF2">
        <w:t xml:space="preserve"> unit but not explicit in the performance criteria: </w:t>
      </w:r>
    </w:p>
    <w:p w:rsidR="00000000" w:rsidRPr="00857BF2" w:rsidP="00857BF2">
      <w:pPr>
        <w:pStyle w:val="ListBullet"/>
      </w:pPr>
      <w:r w:rsidRPr="00857BF2">
        <w:t>technology skills to access information using the internet, databases and business records management systems.</w:t>
      </w:r>
    </w:p>
    <w:p w:rsidR="00000000" w:rsidRPr="00857BF2" w:rsidP="00857BF2">
      <w:pPr>
        <w:pStyle w:val="AllowPageBreak"/>
      </w:pPr>
    </w:p>
    <w:p w:rsidR="00000000" w:rsidRPr="00857BF2" w:rsidP="00857BF2">
      <w:pPr>
        <w:pStyle w:val="Heading1"/>
      </w:pPr>
      <w:bookmarkStart w:id="7" w:name="O_1020709"/>
      <w:bookmarkEnd w:id="7"/>
      <w:r w:rsidRPr="00857BF2">
        <w:t>Unit Mapping Information</w:t>
      </w:r>
    </w:p>
    <w:p w:rsidR="00000000" w:rsidRPr="00857BF2" w:rsidP="002618DE">
      <w:pPr>
        <w:pStyle w:val="BodyText"/>
      </w:pPr>
      <w:r w:rsidRPr="00857BF2">
        <w:t>No equivalent unit.</w:t>
      </w:r>
    </w:p>
    <w:p w:rsidR="00000000" w:rsidRPr="00857BF2" w:rsidP="002618DE">
      <w:pPr>
        <w:pStyle w:val="BodyText"/>
      </w:pPr>
      <w:r w:rsidRPr="00857BF2">
        <w:t>Supersedes but is not equivalent to CPPDSM4046A Manage tenancy disputes.</w:t>
      </w:r>
    </w:p>
    <w:p w:rsidR="00000000" w:rsidRPr="00857BF2" w:rsidP="00857BF2">
      <w:pPr>
        <w:pStyle w:val="Heading1"/>
      </w:pPr>
      <w:bookmarkStart w:id="8" w:name="O_1020702"/>
      <w:bookmarkEnd w:id="8"/>
      <w:r w:rsidRPr="00857BF2">
        <w:t>Links</w:t>
      </w:r>
    </w:p>
    <w:p w:rsidR="00000000" w:rsidRPr="00857BF2" w:rsidP="002618DE">
      <w:pPr>
        <w:pStyle w:val="BodyText"/>
      </w:pPr>
      <w:r w:rsidRPr="00857BF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E21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7BF2" w:rsidP="002618DE">
      <w:pPr>
        <w:pStyle w:val="BodyText"/>
        <w:sectPr w:rsidSect="00857B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7BF2" w:rsidP="00857BF2">
      <w:pPr>
        <w:pStyle w:val="SuperHeading"/>
      </w:pPr>
      <w:r w:rsidRPr="00857BF2">
        <w:t>Assessment Requirements for CPPREP4122 Manage tenant relationships</w:t>
      </w:r>
    </w:p>
    <w:p w:rsidR="00000000" w:rsidRPr="00857BF2" w:rsidP="00857BF2">
      <w:pPr>
        <w:pStyle w:val="Heading1"/>
      </w:pPr>
      <w:bookmarkStart w:id="9" w:name="O_1020704"/>
      <w:bookmarkEnd w:id="9"/>
      <w:r w:rsidRPr="00857B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57B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BF2">
            <w:pPr>
              <w:pStyle w:val="BodyText"/>
              <w:rPr>
                <w:lang w:val="en-NZ"/>
              </w:rPr>
            </w:pPr>
            <w:r w:rsidRPr="00857BF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BF2" w:rsidP="00857BF2">
            <w:pPr>
              <w:pStyle w:val="BodyText"/>
            </w:pPr>
            <w:r w:rsidRPr="00857BF2">
              <w:t>This version first released with CPP Property Services Training Package Release 8.0.</w:t>
            </w:r>
          </w:p>
          <w:p w:rsidR="00000000" w:rsidRPr="00857BF2" w:rsidP="00857BF2">
            <w:pPr>
              <w:pStyle w:val="BodyText"/>
            </w:pPr>
            <w:r w:rsidRPr="00857BF2">
              <w:t>Supersedes but is not equivalent to CPPDSM4046A Manage tenancy disputes.</w:t>
            </w:r>
          </w:p>
          <w:p w:rsidR="00000000" w:rsidRPr="00857BF2" w:rsidP="00857BF2">
            <w:pPr>
              <w:pStyle w:val="BodyText"/>
            </w:pPr>
            <w:r w:rsidRPr="00857BF2">
              <w:t>Updated to the Standards for Training Packages.</w:t>
            </w:r>
          </w:p>
        </w:tc>
      </w:tr>
    </w:tbl>
    <w:p w:rsidR="00000000" w:rsidRPr="00857BF2" w:rsidP="00857BF2">
      <w:pPr>
        <w:pStyle w:val="BodyText"/>
      </w:pPr>
    </w:p>
    <w:p w:rsidR="00000000" w:rsidRPr="00857BF2" w:rsidP="00857BF2">
      <w:pPr>
        <w:pStyle w:val="AllowPageBreak"/>
      </w:pPr>
    </w:p>
    <w:p w:rsidR="00000000" w:rsidRPr="00857BF2" w:rsidP="00857BF2">
      <w:pPr>
        <w:pStyle w:val="Heading1"/>
      </w:pPr>
      <w:bookmarkStart w:id="10" w:name="O_1020707"/>
      <w:bookmarkEnd w:id="10"/>
      <w:r w:rsidRPr="00857BF2">
        <w:t>Performance Evidence</w:t>
      </w:r>
    </w:p>
    <w:p w:rsidR="00000000" w:rsidRPr="00857BF2" w:rsidP="002618DE">
      <w:pPr>
        <w:pStyle w:val="BodyText"/>
      </w:pPr>
      <w:r w:rsidRPr="00857BF2">
        <w:t>To demonstrate competency in this unit, a person must select and place tenants in two differe</w:t>
      </w:r>
      <w:r w:rsidRPr="00857BF2">
        <w:t>nt properties, and for each property:</w:t>
      </w:r>
    </w:p>
    <w:p w:rsidR="00000000" w:rsidRPr="00857BF2" w:rsidP="00857BF2">
      <w:pPr>
        <w:pStyle w:val="ListBullet"/>
      </w:pPr>
      <w:r w:rsidRPr="00857BF2">
        <w:t>prepare tenancy documentation</w:t>
      </w:r>
    </w:p>
    <w:p w:rsidR="00000000" w:rsidRPr="00857BF2" w:rsidP="00857BF2">
      <w:pPr>
        <w:pStyle w:val="ListBullet"/>
      </w:pPr>
      <w:r w:rsidRPr="00857BF2">
        <w:t>provide information to tenants about rights and responsibilities.</w:t>
      </w:r>
    </w:p>
    <w:p w:rsidR="00000000" w:rsidRPr="00857BF2" w:rsidP="002618DE">
      <w:pPr>
        <w:pStyle w:val="BodyText"/>
      </w:pPr>
      <w:r w:rsidRPr="00857BF2">
        <w:t>In doing this, the person must meet the performance criteria for this unit.</w:t>
      </w:r>
    </w:p>
    <w:p w:rsidR="00000000" w:rsidRPr="00857BF2" w:rsidP="00857BF2">
      <w:pPr>
        <w:pStyle w:val="Heading1"/>
      </w:pPr>
      <w:bookmarkStart w:id="11" w:name="O_1020706"/>
      <w:bookmarkEnd w:id="11"/>
      <w:r w:rsidRPr="00857BF2">
        <w:t>Knowledge Evidence</w:t>
      </w:r>
    </w:p>
    <w:p w:rsidR="00000000" w:rsidRPr="00857BF2" w:rsidP="002618DE">
      <w:pPr>
        <w:pStyle w:val="BodyText"/>
      </w:pPr>
      <w:r w:rsidRPr="00857BF2">
        <w:t>To be competent in this unit, a person must demonstrate knowledge of:</w:t>
      </w:r>
    </w:p>
    <w:p w:rsidR="00000000" w:rsidRPr="00857BF2" w:rsidP="00857BF2">
      <w:pPr>
        <w:pStyle w:val="ListBullet"/>
      </w:pPr>
      <w:r w:rsidRPr="00857BF2">
        <w:t>contact people in property management team</w:t>
      </w:r>
    </w:p>
    <w:p w:rsidR="00000000" w:rsidRPr="00857BF2" w:rsidP="00857BF2">
      <w:pPr>
        <w:pStyle w:val="ListBullet"/>
      </w:pPr>
      <w:r w:rsidRPr="00857BF2">
        <w:t>tenant selection criteria:</w:t>
      </w:r>
    </w:p>
    <w:p w:rsidR="00000000" w:rsidRPr="00857BF2" w:rsidP="00857BF2">
      <w:pPr>
        <w:pStyle w:val="ListBullet2"/>
      </w:pPr>
      <w:r w:rsidRPr="00857BF2">
        <w:t>legislation</w:t>
      </w:r>
    </w:p>
    <w:p w:rsidR="00000000" w:rsidRPr="00857BF2" w:rsidP="00857BF2">
      <w:pPr>
        <w:pStyle w:val="ListBullet2"/>
      </w:pPr>
      <w:r w:rsidRPr="00857BF2">
        <w:t>suitability for property</w:t>
      </w:r>
    </w:p>
    <w:p w:rsidR="00000000" w:rsidRPr="00857BF2" w:rsidP="00857BF2">
      <w:pPr>
        <w:pStyle w:val="ListBullet2"/>
      </w:pPr>
      <w:r w:rsidRPr="00857BF2">
        <w:t>tenant renting history</w:t>
      </w:r>
    </w:p>
    <w:p w:rsidR="00000000" w:rsidRPr="00857BF2" w:rsidP="00857BF2">
      <w:pPr>
        <w:pStyle w:val="ListBullet2"/>
      </w:pPr>
      <w:r w:rsidRPr="00857BF2">
        <w:t>capacity to meet rental terms</w:t>
      </w:r>
    </w:p>
    <w:p w:rsidR="00000000" w:rsidRPr="00857BF2" w:rsidP="00857BF2">
      <w:pPr>
        <w:pStyle w:val="ListBullet"/>
      </w:pPr>
      <w:r w:rsidRPr="00857BF2">
        <w:t>conditions of rental ag</w:t>
      </w:r>
      <w:r w:rsidRPr="00857BF2">
        <w:t>reement:</w:t>
      </w:r>
    </w:p>
    <w:p w:rsidR="00000000" w:rsidRPr="00857BF2" w:rsidP="00857BF2">
      <w:pPr>
        <w:pStyle w:val="ListBullet2"/>
      </w:pPr>
      <w:r w:rsidRPr="00857BF2">
        <w:t>format – written, oral, standard form</w:t>
      </w:r>
    </w:p>
    <w:p w:rsidR="00000000" w:rsidRPr="00857BF2" w:rsidP="00857BF2">
      <w:pPr>
        <w:pStyle w:val="ListBullet2"/>
      </w:pPr>
      <w:r w:rsidRPr="00857BF2">
        <w:t>payment of rent</w:t>
      </w:r>
    </w:p>
    <w:p w:rsidR="00000000" w:rsidRPr="00857BF2" w:rsidP="00857BF2">
      <w:pPr>
        <w:pStyle w:val="ListBullet2"/>
      </w:pPr>
      <w:r w:rsidRPr="00857BF2">
        <w:t>term of agreement</w:t>
      </w:r>
    </w:p>
    <w:p w:rsidR="00000000" w:rsidRPr="00857BF2" w:rsidP="00857BF2">
      <w:pPr>
        <w:pStyle w:val="ListBullet2"/>
      </w:pPr>
      <w:r w:rsidRPr="00857BF2">
        <w:t>conditions of use</w:t>
      </w:r>
    </w:p>
    <w:p w:rsidR="00000000" w:rsidRPr="00857BF2" w:rsidP="00857BF2">
      <w:pPr>
        <w:pStyle w:val="ListBullet2"/>
      </w:pPr>
      <w:r w:rsidRPr="00857BF2">
        <w:t>special conditions/additional terms</w:t>
      </w:r>
    </w:p>
    <w:p w:rsidR="00000000" w:rsidRPr="00857BF2" w:rsidP="00857BF2">
      <w:pPr>
        <w:pStyle w:val="ListBullet2"/>
      </w:pPr>
      <w:r w:rsidRPr="00857BF2">
        <w:t>tenant entitlements</w:t>
      </w:r>
    </w:p>
    <w:p w:rsidR="00000000" w:rsidRPr="00857BF2" w:rsidP="00857BF2">
      <w:pPr>
        <w:pStyle w:val="ListBullet"/>
      </w:pPr>
      <w:r w:rsidRPr="00857BF2">
        <w:t>entry costs:</w:t>
      </w:r>
    </w:p>
    <w:p w:rsidR="00000000" w:rsidRPr="00857BF2" w:rsidP="00857BF2">
      <w:pPr>
        <w:pStyle w:val="ListBullet2"/>
      </w:pPr>
      <w:r w:rsidRPr="00857BF2">
        <w:t>bond</w:t>
      </w:r>
    </w:p>
    <w:p w:rsidR="00000000" w:rsidRPr="00857BF2" w:rsidP="00857BF2">
      <w:pPr>
        <w:pStyle w:val="ListBullet2"/>
      </w:pPr>
      <w:r w:rsidRPr="00857BF2">
        <w:t>rent in advance</w:t>
      </w:r>
    </w:p>
    <w:p w:rsidR="00000000" w:rsidRPr="00857BF2" w:rsidP="00857BF2">
      <w:pPr>
        <w:pStyle w:val="ListBullet2"/>
      </w:pPr>
      <w:r w:rsidRPr="00857BF2">
        <w:t>any other fees – allowable, not allowable and penalties</w:t>
      </w:r>
    </w:p>
    <w:p w:rsidR="00000000" w:rsidRPr="00857BF2" w:rsidP="00857BF2">
      <w:pPr>
        <w:pStyle w:val="ListBullet"/>
      </w:pPr>
      <w:r w:rsidRPr="00857BF2">
        <w:t>disclosure and documentation requirements provided to tenants prior to entering tenancy agreement as required in state or territory of operation</w:t>
      </w:r>
    </w:p>
    <w:p w:rsidR="00000000" w:rsidRPr="00857BF2" w:rsidP="00857BF2">
      <w:pPr>
        <w:pStyle w:val="ListBullet"/>
      </w:pPr>
      <w:r w:rsidRPr="00857BF2">
        <w:t>bond payment, lodgement legal requirements and agency procedures</w:t>
      </w:r>
    </w:p>
    <w:p w:rsidR="00000000" w:rsidRPr="00857BF2" w:rsidP="00857BF2">
      <w:pPr>
        <w:pStyle w:val="ListBullet"/>
      </w:pPr>
      <w:r w:rsidRPr="00857BF2">
        <w:t>terms and conditions, and documentation relati</w:t>
      </w:r>
      <w:r w:rsidRPr="00857BF2">
        <w:t>ng to property inspections, maintenance and repairs</w:t>
      </w:r>
    </w:p>
    <w:p w:rsidR="00000000" w:rsidRPr="00857BF2" w:rsidP="00857BF2">
      <w:pPr>
        <w:pStyle w:val="ListBullet"/>
      </w:pPr>
      <w:r w:rsidRPr="00857BF2">
        <w:t>roles and responsibilities of landlord and of agent to tenant during tenancy</w:t>
      </w:r>
    </w:p>
    <w:p w:rsidR="00000000" w:rsidRPr="00857BF2" w:rsidP="00857BF2">
      <w:pPr>
        <w:pStyle w:val="ListBullet"/>
      </w:pPr>
      <w:r w:rsidRPr="00857BF2">
        <w:t>privacy standards and confidentiality in relation to landlord and tenant</w:t>
      </w:r>
    </w:p>
    <w:p w:rsidR="00000000" w:rsidRPr="00857BF2" w:rsidP="00857BF2">
      <w:pPr>
        <w:pStyle w:val="ListBullet"/>
      </w:pPr>
      <w:r w:rsidRPr="00857BF2">
        <w:t>property management documentation and forms</w:t>
      </w:r>
    </w:p>
    <w:p w:rsidR="00000000" w:rsidRPr="00857BF2" w:rsidP="00857BF2">
      <w:pPr>
        <w:pStyle w:val="ListBullet"/>
      </w:pPr>
      <w:r w:rsidRPr="00857BF2">
        <w:t>r</w:t>
      </w:r>
      <w:r w:rsidRPr="00857BF2">
        <w:t xml:space="preserve">ights and responsibilities of tenants </w:t>
      </w:r>
    </w:p>
    <w:p w:rsidR="00000000" w:rsidRPr="00857BF2" w:rsidP="00857BF2">
      <w:pPr>
        <w:pStyle w:val="ListBullet"/>
      </w:pPr>
      <w:r w:rsidRPr="00857BF2">
        <w:t>relevant legislation relating to property management in the state or territory of operation:</w:t>
      </w:r>
    </w:p>
    <w:p w:rsidR="00000000" w:rsidRPr="00857BF2" w:rsidP="00857BF2">
      <w:pPr>
        <w:pStyle w:val="ListBullet2"/>
      </w:pPr>
      <w:r w:rsidRPr="00857BF2">
        <w:t>anti-discrimination and equal employment opportunity</w:t>
      </w:r>
    </w:p>
    <w:p w:rsidR="00000000" w:rsidRPr="00857BF2" w:rsidP="00857BF2">
      <w:pPr>
        <w:pStyle w:val="ListBullet2"/>
      </w:pPr>
      <w:r w:rsidRPr="00857BF2">
        <w:t>consumer protection, fair trading and trade practices</w:t>
      </w:r>
    </w:p>
    <w:p w:rsidR="00000000" w:rsidRPr="00857BF2" w:rsidP="00857BF2">
      <w:pPr>
        <w:pStyle w:val="ListBullet2"/>
      </w:pPr>
      <w:r w:rsidRPr="00857BF2">
        <w:t xml:space="preserve">work health and </w:t>
      </w:r>
      <w:r w:rsidRPr="00857BF2">
        <w:t>safety/occupational health and safety</w:t>
      </w:r>
    </w:p>
    <w:p w:rsidR="00000000" w:rsidRPr="00857BF2" w:rsidP="00857BF2">
      <w:pPr>
        <w:pStyle w:val="ListBullet2"/>
      </w:pPr>
      <w:r w:rsidRPr="00857BF2">
        <w:t>privacy</w:t>
      </w:r>
    </w:p>
    <w:p w:rsidR="00000000" w:rsidRPr="00857BF2" w:rsidP="00857BF2">
      <w:pPr>
        <w:pStyle w:val="ListBullet2"/>
      </w:pPr>
      <w:r w:rsidRPr="00857BF2">
        <w:t>property sales and management</w:t>
      </w:r>
    </w:p>
    <w:p w:rsidR="00000000" w:rsidRPr="00857BF2" w:rsidP="00857BF2">
      <w:pPr>
        <w:pStyle w:val="ListBullet2"/>
      </w:pPr>
      <w:r w:rsidRPr="00857BF2">
        <w:t>ethical practice associated with tenancy agreements including disclosure</w:t>
      </w:r>
    </w:p>
    <w:p w:rsidR="00000000" w:rsidRPr="00857BF2" w:rsidP="00857BF2">
      <w:pPr>
        <w:pStyle w:val="ListBullet"/>
      </w:pPr>
      <w:r w:rsidRPr="00857BF2">
        <w:t>rent:</w:t>
      </w:r>
    </w:p>
    <w:p w:rsidR="00000000" w:rsidRPr="00857BF2" w:rsidP="00857BF2">
      <w:pPr>
        <w:pStyle w:val="ListBullet2"/>
      </w:pPr>
      <w:r w:rsidRPr="00857BF2">
        <w:t>payment</w:t>
      </w:r>
    </w:p>
    <w:p w:rsidR="00000000" w:rsidRPr="00857BF2" w:rsidP="00857BF2">
      <w:pPr>
        <w:pStyle w:val="ListBullet2"/>
      </w:pPr>
      <w:r w:rsidRPr="00857BF2">
        <w:t>receipting and recording</w:t>
      </w:r>
    </w:p>
    <w:p w:rsidR="00000000" w:rsidRPr="00857BF2" w:rsidP="00857BF2">
      <w:pPr>
        <w:pStyle w:val="ListBullet2"/>
      </w:pPr>
      <w:r w:rsidRPr="00857BF2">
        <w:t>rent arrears</w:t>
      </w:r>
    </w:p>
    <w:p w:rsidR="00000000" w:rsidRPr="00857BF2" w:rsidP="00857BF2">
      <w:pPr>
        <w:pStyle w:val="ListBullet"/>
      </w:pPr>
      <w:r w:rsidRPr="00857BF2">
        <w:t>components of tenancy documentation:</w:t>
      </w:r>
    </w:p>
    <w:p w:rsidR="00000000" w:rsidRPr="00857BF2" w:rsidP="00857BF2">
      <w:pPr>
        <w:pStyle w:val="ListBullet2"/>
      </w:pPr>
      <w:r w:rsidRPr="00857BF2">
        <w:t>condition report</w:t>
      </w:r>
    </w:p>
    <w:p w:rsidR="00000000" w:rsidRPr="00857BF2" w:rsidP="00857BF2">
      <w:pPr>
        <w:pStyle w:val="ListBullet2"/>
      </w:pPr>
      <w:r w:rsidRPr="00857BF2">
        <w:t>disclosure requirements</w:t>
      </w:r>
    </w:p>
    <w:p w:rsidR="00000000" w:rsidRPr="00857BF2" w:rsidP="00857BF2">
      <w:pPr>
        <w:pStyle w:val="ListBullet2"/>
      </w:pPr>
      <w:r w:rsidRPr="00857BF2">
        <w:t>fixed and periodic term</w:t>
      </w:r>
    </w:p>
    <w:p w:rsidR="00000000" w:rsidRPr="00857BF2" w:rsidP="00857BF2">
      <w:pPr>
        <w:pStyle w:val="ListBullet2"/>
      </w:pPr>
      <w:r w:rsidRPr="00857BF2">
        <w:t>legal obligations of tenant, landlord and agent</w:t>
      </w:r>
    </w:p>
    <w:p w:rsidR="00000000" w:rsidRPr="00857BF2" w:rsidP="00857BF2">
      <w:pPr>
        <w:pStyle w:val="ListBullet2"/>
      </w:pPr>
      <w:r w:rsidRPr="00857BF2">
        <w:t>rent, bonds or security deposits</w:t>
      </w:r>
    </w:p>
    <w:p w:rsidR="00000000" w:rsidRPr="00857BF2" w:rsidP="00857BF2">
      <w:pPr>
        <w:pStyle w:val="ListBullet"/>
      </w:pPr>
      <w:r w:rsidRPr="00857BF2">
        <w:t>processes for tenant requests:</w:t>
      </w:r>
    </w:p>
    <w:p w:rsidR="00000000" w:rsidRPr="00857BF2" w:rsidP="00857BF2">
      <w:pPr>
        <w:pStyle w:val="ListBullet2"/>
      </w:pPr>
      <w:r w:rsidRPr="00857BF2">
        <w:t>repairs</w:t>
      </w:r>
    </w:p>
    <w:p w:rsidR="00000000" w:rsidRPr="00857BF2" w:rsidP="00857BF2">
      <w:pPr>
        <w:pStyle w:val="ListBullet2"/>
      </w:pPr>
      <w:r w:rsidRPr="00857BF2">
        <w:t>urgent repairs</w:t>
      </w:r>
    </w:p>
    <w:p w:rsidR="00000000" w:rsidRPr="00857BF2" w:rsidP="00857BF2">
      <w:pPr>
        <w:pStyle w:val="ListBullet2"/>
      </w:pPr>
      <w:r w:rsidRPr="00857BF2">
        <w:t>issues affecting tenancy terms and conditions</w:t>
      </w:r>
    </w:p>
    <w:p w:rsidR="00000000" w:rsidRPr="00857BF2" w:rsidP="00857BF2">
      <w:pPr>
        <w:pStyle w:val="ListBullet"/>
      </w:pPr>
      <w:r w:rsidRPr="00857BF2">
        <w:t>communi</w:t>
      </w:r>
      <w:r w:rsidRPr="00857BF2">
        <w:t>cation strategies for responding to client complaints.</w:t>
      </w:r>
    </w:p>
    <w:p w:rsidR="00000000" w:rsidRPr="00857BF2" w:rsidP="00857BF2">
      <w:pPr>
        <w:pStyle w:val="AllowPageBreak"/>
      </w:pPr>
    </w:p>
    <w:p w:rsidR="00000000" w:rsidRPr="00857BF2" w:rsidP="00857BF2">
      <w:pPr>
        <w:pStyle w:val="Heading1"/>
      </w:pPr>
      <w:bookmarkStart w:id="12" w:name="O_1020705"/>
      <w:bookmarkEnd w:id="12"/>
      <w:r w:rsidRPr="00857BF2">
        <w:t>Assessment Conditions</w:t>
      </w:r>
    </w:p>
    <w:p w:rsidR="00000000" w:rsidRPr="00857BF2" w:rsidP="002618DE">
      <w:pPr>
        <w:pStyle w:val="BodyText"/>
      </w:pPr>
      <w:r w:rsidRPr="00857BF2">
        <w:t xml:space="preserve">Assessors must satisfy the requirements for assessors listed in the Standards for Registered Training Organisations. </w:t>
      </w:r>
    </w:p>
    <w:p w:rsidR="00000000" w:rsidRPr="00857BF2" w:rsidP="002618DE">
      <w:pPr>
        <w:pStyle w:val="BodyText"/>
      </w:pPr>
      <w:r w:rsidRPr="00857BF2">
        <w:t xml:space="preserve">Assessment must be conducted in the workplace or in a simulated workplace environment. </w:t>
      </w:r>
    </w:p>
    <w:p w:rsidR="00000000" w:rsidRPr="00857BF2" w:rsidP="002618DE">
      <w:pPr>
        <w:pStyle w:val="BodyText"/>
      </w:pPr>
      <w:r w:rsidRPr="00857BF2">
        <w:t xml:space="preserve">Tasks are to be performed to the level of proficiency and within the time limits expected in a workplace. </w:t>
      </w:r>
    </w:p>
    <w:p w:rsidR="00000000" w:rsidRPr="00857BF2" w:rsidP="002618DE">
      <w:pPr>
        <w:pStyle w:val="BodyText"/>
      </w:pPr>
      <w:r w:rsidRPr="00857BF2">
        <w:t>Assessors are responsible for ensuring that the person demons</w:t>
      </w:r>
      <w:r w:rsidRPr="00857BF2">
        <w:t>trating competency has access to:</w:t>
      </w:r>
    </w:p>
    <w:p w:rsidR="00000000" w:rsidRPr="00857BF2" w:rsidP="00857BF2">
      <w:pPr>
        <w:pStyle w:val="ListBullet"/>
      </w:pPr>
      <w:r w:rsidRPr="00857BF2">
        <w:t>range of tenant profiles</w:t>
      </w:r>
    </w:p>
    <w:p w:rsidR="00000000" w:rsidRPr="00857BF2" w:rsidP="00857BF2">
      <w:pPr>
        <w:pStyle w:val="ListBullet"/>
      </w:pPr>
      <w:r w:rsidRPr="00857BF2">
        <w:t>range of property profiles</w:t>
      </w:r>
    </w:p>
    <w:p w:rsidR="00000000" w:rsidRPr="00857BF2" w:rsidP="00857BF2">
      <w:pPr>
        <w:pStyle w:val="ListBullet"/>
      </w:pPr>
      <w:r w:rsidRPr="00857BF2">
        <w:t>sample tenancy agreement for the state or territory of operation</w:t>
      </w:r>
    </w:p>
    <w:p w:rsidR="00000000" w:rsidRPr="00857BF2" w:rsidP="00857BF2">
      <w:pPr>
        <w:pStyle w:val="ListBullet"/>
      </w:pPr>
      <w:r w:rsidRPr="00857BF2">
        <w:t>sample property condition report used in the state or territory of operation</w:t>
      </w:r>
    </w:p>
    <w:p w:rsidR="00000000" w:rsidRPr="00857BF2" w:rsidP="00857BF2">
      <w:pPr>
        <w:pStyle w:val="ListBullet"/>
      </w:pPr>
      <w:r w:rsidRPr="00857BF2">
        <w:t>agency procedures, forms an</w:t>
      </w:r>
      <w:r w:rsidRPr="00857BF2">
        <w:t>d documents.</w:t>
      </w:r>
    </w:p>
    <w:p w:rsidR="00000000" w:rsidRPr="00857BF2" w:rsidP="00857BF2">
      <w:pPr>
        <w:pStyle w:val="AllowPageBreak"/>
      </w:pPr>
    </w:p>
    <w:p w:rsidR="00000000" w:rsidRPr="00857BF2" w:rsidP="00857BF2">
      <w:pPr>
        <w:pStyle w:val="Heading1"/>
      </w:pPr>
      <w:bookmarkStart w:id="13" w:name="O_1020703"/>
      <w:bookmarkEnd w:id="13"/>
      <w:r w:rsidRPr="00857BF2">
        <w:t>Links</w:t>
      </w:r>
    </w:p>
    <w:p w:rsidR="00000000" w:rsidRPr="00857BF2" w:rsidP="002618DE">
      <w:pPr>
        <w:pStyle w:val="BodyText"/>
      </w:pPr>
      <w:r w:rsidRPr="00857BF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E212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7BF2" w:rsidP="00857BF2"/>
    <w:sectPr w:rsidSect="00857B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F2" w:rsidRPr="002618DE" w:rsidP="00261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DE" w:rsidP="00857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18DE" w:rsidP="00857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618DE" w:rsidP="00857B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F2" w:rsidP="00857B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18DE">
      <w:t>Approved</w:t>
    </w:r>
    <w:r w:rsidR="002618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18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18DE">
      <w:rPr>
        <w:noProof/>
      </w:rPr>
      <w:t>4</w:t>
    </w:r>
    <w:r>
      <w:rPr>
        <w:noProof/>
      </w:rPr>
      <w:fldChar w:fldCharType="end"/>
    </w:r>
  </w:p>
  <w:p w:rsidR="00857BF2" w:rsidP="00857B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18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18DE">
      <w:t>BuildSkills Australia</w:t>
    </w:r>
    <w:r w:rsidR="002618DE">
      <w:fldChar w:fldCharType="end"/>
    </w:r>
  </w:p>
  <w:p w:rsidR="00857BF2" w:rsidP="00857B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BF2" w:rsidRPr="002618DE" w:rsidP="00261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DE" w:rsidRPr="002D2AF8" w:rsidP="00857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CPPREP4122 Manage tenant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18DE" w:rsidP="00857B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F2" w:rsidRPr="002D2AF8" w:rsidP="00857B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18DE">
      <w:t>CPPREP4122 Manage tenant relationships</w:t>
    </w:r>
    <w:r w:rsidR="002618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18DE">
      <w:rPr>
        <w:noProof/>
      </w:rPr>
      <w:t>1 March 2025</w:t>
    </w:r>
    <w:r>
      <w:fldChar w:fldCharType="end"/>
    </w:r>
  </w:p>
  <w:p w:rsidR="00857BF2" w:rsidP="00857B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68A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28A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EE8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B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B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B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B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B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B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B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B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B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B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B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BF2"/>
  </w:style>
  <w:style w:type="character" w:customStyle="1" w:styleId="Heading1Char">
    <w:name w:val="Heading 1 Char"/>
    <w:basedOn w:val="DefaultParagraphFont"/>
    <w:link w:val="Heading1"/>
    <w:rsid w:val="00857B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B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B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B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7B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B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B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B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B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B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B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B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B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B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B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B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B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B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B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B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B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B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B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B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B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BF2"/>
    <w:rPr>
      <w:b/>
      <w:spacing w:val="0"/>
    </w:rPr>
  </w:style>
  <w:style w:type="paragraph" w:customStyle="1" w:styleId="SuperTitle">
    <w:name w:val="SuperTitle"/>
    <w:basedOn w:val="Title"/>
    <w:rsid w:val="00857B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B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B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B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B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B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B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B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B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B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B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B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BF2"/>
    <w:rPr>
      <w:i/>
    </w:rPr>
  </w:style>
  <w:style w:type="paragraph" w:styleId="Caption">
    <w:name w:val="caption"/>
    <w:basedOn w:val="BodyText"/>
    <w:next w:val="Normal"/>
    <w:qFormat/>
    <w:rsid w:val="00857B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B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B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BF2"/>
  </w:style>
  <w:style w:type="paragraph" w:styleId="TableofFigures">
    <w:name w:val="table of figures"/>
    <w:basedOn w:val="Normal"/>
    <w:next w:val="Normal"/>
    <w:semiHidden/>
    <w:rsid w:val="00857B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B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7BF2"/>
    <w:rPr>
      <w:rFonts w:ascii="Wingdings" w:hAnsi="Wingdings"/>
    </w:rPr>
  </w:style>
  <w:style w:type="paragraph" w:customStyle="1" w:styleId="TableHeading">
    <w:name w:val="Table Heading"/>
    <w:basedOn w:val="HeadingBase"/>
    <w:rsid w:val="00857B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BF2"/>
    <w:rPr>
      <w:color w:val="0033CC"/>
      <w:u w:val="none"/>
    </w:rPr>
  </w:style>
  <w:style w:type="paragraph" w:customStyle="1" w:styleId="BodyTextRight">
    <w:name w:val="Body Text Right"/>
    <w:basedOn w:val="BodyText"/>
    <w:rsid w:val="00857B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B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B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B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B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B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BF2"/>
    <w:rPr>
      <w:sz w:val="32"/>
    </w:rPr>
  </w:style>
  <w:style w:type="paragraph" w:customStyle="1" w:styleId="HeadingProcedure">
    <w:name w:val="Heading Procedure"/>
    <w:basedOn w:val="HeadingBase"/>
    <w:next w:val="Normal"/>
    <w:rsid w:val="00857B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BF2"/>
    <w:pPr>
      <w:spacing w:before="60" w:after="60"/>
    </w:pPr>
  </w:style>
  <w:style w:type="paragraph" w:styleId="ListContinue">
    <w:name w:val="List Continue"/>
    <w:basedOn w:val="List"/>
    <w:rsid w:val="00857BF2"/>
    <w:pPr>
      <w:ind w:firstLine="0"/>
    </w:pPr>
  </w:style>
  <w:style w:type="paragraph" w:customStyle="1" w:styleId="ListNote">
    <w:name w:val="List Note"/>
    <w:basedOn w:val="List"/>
    <w:rsid w:val="00857B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B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B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BF2"/>
    <w:rPr>
      <w:rFonts w:ascii="Courier New" w:hAnsi="Courier New"/>
    </w:rPr>
  </w:style>
  <w:style w:type="paragraph" w:customStyle="1" w:styleId="NoteBullet">
    <w:name w:val="Note Bullet"/>
    <w:basedOn w:val="Note"/>
    <w:rsid w:val="00857B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B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B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B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B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B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B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BF2"/>
    <w:rPr>
      <w:b/>
      <w:smallCaps/>
    </w:rPr>
  </w:style>
  <w:style w:type="paragraph" w:customStyle="1" w:styleId="TableListNumber">
    <w:name w:val="Table List Number"/>
    <w:basedOn w:val="ListNumber"/>
    <w:rsid w:val="00857B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B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BF2"/>
    <w:pPr>
      <w:numPr>
        <w:numId w:val="9"/>
      </w:numPr>
    </w:pPr>
  </w:style>
  <w:style w:type="paragraph" w:customStyle="1" w:styleId="ListAlpha2">
    <w:name w:val="List Alpha 2"/>
    <w:basedOn w:val="List2"/>
    <w:rsid w:val="00857BF2"/>
    <w:pPr>
      <w:numPr>
        <w:numId w:val="8"/>
      </w:numPr>
    </w:pPr>
  </w:style>
  <w:style w:type="paragraph" w:styleId="List2">
    <w:name w:val="List 2"/>
    <w:basedOn w:val="BodyText"/>
    <w:rsid w:val="00857B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B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B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B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B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B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7BF2"/>
    <w:pPr>
      <w:numPr>
        <w:numId w:val="4"/>
      </w:numPr>
    </w:pPr>
  </w:style>
  <w:style w:type="paragraph" w:styleId="ListContinue2">
    <w:name w:val="List Continue 2"/>
    <w:basedOn w:val="List2"/>
    <w:rsid w:val="00857BF2"/>
    <w:pPr>
      <w:ind w:firstLine="0"/>
    </w:pPr>
  </w:style>
  <w:style w:type="paragraph" w:styleId="ListContinue3">
    <w:name w:val="List Continue 3"/>
    <w:basedOn w:val="List3"/>
    <w:rsid w:val="00857BF2"/>
    <w:pPr>
      <w:ind w:left="1021" w:firstLine="0"/>
    </w:pPr>
  </w:style>
  <w:style w:type="paragraph" w:styleId="ListContinue4">
    <w:name w:val="List Continue 4"/>
    <w:basedOn w:val="List4"/>
    <w:rsid w:val="00857BF2"/>
    <w:pPr>
      <w:ind w:firstLine="0"/>
    </w:pPr>
  </w:style>
  <w:style w:type="paragraph" w:styleId="ListContinue5">
    <w:name w:val="List Continue 5"/>
    <w:basedOn w:val="List5"/>
    <w:rsid w:val="00857BF2"/>
    <w:pPr>
      <w:ind w:firstLine="0"/>
    </w:pPr>
  </w:style>
  <w:style w:type="paragraph" w:styleId="ListNumber3">
    <w:name w:val="List Number 3"/>
    <w:basedOn w:val="List3"/>
    <w:rsid w:val="00857BF2"/>
    <w:pPr>
      <w:numPr>
        <w:numId w:val="5"/>
      </w:numPr>
    </w:pPr>
  </w:style>
  <w:style w:type="paragraph" w:styleId="ListNumber4">
    <w:name w:val="List Number 4"/>
    <w:basedOn w:val="List4"/>
    <w:rsid w:val="00857BF2"/>
    <w:pPr>
      <w:numPr>
        <w:numId w:val="6"/>
      </w:numPr>
    </w:pPr>
  </w:style>
  <w:style w:type="paragraph" w:styleId="ListNumber5">
    <w:name w:val="List Number 5"/>
    <w:basedOn w:val="List5"/>
    <w:rsid w:val="00857BF2"/>
    <w:pPr>
      <w:numPr>
        <w:numId w:val="7"/>
      </w:numPr>
    </w:pPr>
  </w:style>
  <w:style w:type="paragraph" w:styleId="BlockText">
    <w:name w:val="Block Text"/>
    <w:basedOn w:val="Normal"/>
    <w:rsid w:val="00857B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B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BF2"/>
    <w:rPr>
      <w:sz w:val="16"/>
      <w:vertAlign w:val="superscript"/>
    </w:rPr>
  </w:style>
  <w:style w:type="character" w:customStyle="1" w:styleId="Symbols">
    <w:name w:val="Symbols"/>
    <w:basedOn w:val="DefaultParagraphFont"/>
    <w:rsid w:val="00857BF2"/>
    <w:rPr>
      <w:rFonts w:ascii="Symbol" w:hAnsi="Symbol"/>
    </w:rPr>
  </w:style>
  <w:style w:type="character" w:customStyle="1" w:styleId="MenuOptions">
    <w:name w:val="Menu Options"/>
    <w:basedOn w:val="DefaultParagraphFont"/>
    <w:rsid w:val="00857B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BF2"/>
    <w:rPr>
      <w:b/>
    </w:rPr>
  </w:style>
  <w:style w:type="character" w:customStyle="1" w:styleId="Underlined">
    <w:name w:val="Underlined"/>
    <w:basedOn w:val="DefaultParagraphFont"/>
    <w:rsid w:val="00857BF2"/>
    <w:rPr>
      <w:u w:val="single"/>
    </w:rPr>
  </w:style>
  <w:style w:type="paragraph" w:customStyle="1" w:styleId="TableBodyTextRight">
    <w:name w:val="Table Body Text Right"/>
    <w:basedOn w:val="TableBodyText"/>
    <w:rsid w:val="00857B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BF2"/>
    <w:rPr>
      <w:sz w:val="18"/>
    </w:rPr>
  </w:style>
  <w:style w:type="paragraph" w:customStyle="1" w:styleId="BodySmallRight">
    <w:name w:val="Body Small Right"/>
    <w:basedOn w:val="BodyTextRight"/>
    <w:rsid w:val="00857BF2"/>
    <w:rPr>
      <w:sz w:val="18"/>
      <w:szCs w:val="18"/>
    </w:rPr>
  </w:style>
  <w:style w:type="paragraph" w:customStyle="1" w:styleId="MarginEdition">
    <w:name w:val="Margin Edition"/>
    <w:basedOn w:val="MarginNote"/>
    <w:rsid w:val="00857B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BF2"/>
    <w:rPr>
      <w:sz w:val="2"/>
      <w:szCs w:val="2"/>
    </w:rPr>
  </w:style>
  <w:style w:type="character" w:customStyle="1" w:styleId="Small">
    <w:name w:val="Small"/>
    <w:basedOn w:val="DefaultParagraphFont"/>
    <w:rsid w:val="00857BF2"/>
    <w:rPr>
      <w:sz w:val="16"/>
    </w:rPr>
  </w:style>
  <w:style w:type="paragraph" w:customStyle="1" w:styleId="WideTable">
    <w:name w:val="Wide Table"/>
    <w:basedOn w:val="Normal"/>
    <w:rsid w:val="00857B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BF2"/>
  </w:style>
  <w:style w:type="paragraph" w:styleId="Quote">
    <w:name w:val="Quote"/>
    <w:basedOn w:val="Heading1"/>
    <w:link w:val="QuoteChar"/>
    <w:qFormat/>
    <w:rsid w:val="00857B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B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BF2"/>
    <w:pPr>
      <w:pageBreakBefore/>
    </w:pPr>
  </w:style>
  <w:style w:type="paragraph" w:customStyle="1" w:styleId="Border">
    <w:name w:val="Border"/>
    <w:basedOn w:val="Normal"/>
    <w:qFormat/>
    <w:rsid w:val="00857B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B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B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B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B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B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B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B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B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BF2"/>
    <w:rPr>
      <w:u w:val="single"/>
    </w:rPr>
  </w:style>
  <w:style w:type="character" w:customStyle="1" w:styleId="BoldandItalics">
    <w:name w:val="Bold and Italics"/>
    <w:qFormat/>
    <w:rsid w:val="00857BF2"/>
    <w:rPr>
      <w:b/>
      <w:i/>
      <w:u w:val="none"/>
    </w:rPr>
  </w:style>
  <w:style w:type="paragraph" w:styleId="BalloonText">
    <w:name w:val="Balloon Text"/>
    <w:basedOn w:val="Normal"/>
    <w:link w:val="BalloonTextChar"/>
    <w:rsid w:val="00857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B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B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B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B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B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BF2"/>
    <w:pPr>
      <w:spacing w:before="0" w:after="0"/>
    </w:pPr>
  </w:style>
  <w:style w:type="paragraph" w:customStyle="1" w:styleId="BodyTextBold">
    <w:name w:val="Body Text Bold"/>
    <w:basedOn w:val="BodyText"/>
    <w:qFormat/>
    <w:rsid w:val="00857BF2"/>
    <w:rPr>
      <w:b/>
    </w:rPr>
  </w:style>
  <w:style w:type="character" w:styleId="Hyperlink">
    <w:name w:val="Hyperlink"/>
    <w:basedOn w:val="DefaultParagraphFont"/>
    <w:uiPriority w:val="99"/>
    <w:unhideWhenUsed/>
    <w:rsid w:val="00261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5611</Characters>
  <Application>Microsoft Office Word</Application>
  <DocSecurity>0</DocSecurity>
  <Lines>224</Lines>
  <Paragraphs>161</Paragraphs>
  <ScaleCrop>false</ScaleCrop>
  <Company>Author-it Software Corporation Ltd.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CPPREP4122 Manage tenant relationships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