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67A" w:rsidP="00986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CPPREP4104 Establish buyer relationships</w:t>
      </w:r>
      <w:r>
        <w:fldChar w:fldCharType="end"/>
      </w:r>
    </w:p>
    <w:p w:rsidR="0098667A" w:rsidP="0098667A">
      <w:pPr>
        <w:pStyle w:val="Version"/>
        <w:sectPr w:rsidSect="00BC3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B27" w:rsidP="00BC3B27">
      <w:pPr>
        <w:pStyle w:val="SuperHeading"/>
      </w:pPr>
      <w:r w:rsidRPr="00BC3B27">
        <w:t>CPPREP4104 Establish buyer relationships</w:t>
      </w:r>
    </w:p>
    <w:p w:rsidR="00000000" w:rsidRPr="00BC3B27" w:rsidP="00BC3B27">
      <w:pPr>
        <w:pStyle w:val="Heading1"/>
      </w:pPr>
      <w:bookmarkStart w:id="1" w:name="O_1020657"/>
      <w:bookmarkEnd w:id="1"/>
      <w:r w:rsidRPr="00BC3B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27" w:rsidP="00BC3B27">
            <w:pPr>
              <w:pStyle w:val="BodyText"/>
            </w:pPr>
            <w:r w:rsidRPr="00BC3B27">
              <w:t>This version first released with CPP Property Services Training Package Release 8.0.</w:t>
            </w:r>
          </w:p>
          <w:p w:rsidR="00000000" w:rsidRPr="00BC3B27" w:rsidP="00BC3B27">
            <w:pPr>
              <w:pStyle w:val="BodyText"/>
            </w:pPr>
            <w:r w:rsidRPr="00BC3B27">
              <w:t>New unit of competency.</w:t>
            </w:r>
          </w:p>
        </w:tc>
      </w:tr>
    </w:tbl>
    <w:p w:rsidR="00000000" w:rsidRPr="00BC3B27" w:rsidP="00BC3B27">
      <w:pPr>
        <w:pStyle w:val="BodyText"/>
      </w:pP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2" w:name="O_1020663"/>
      <w:bookmarkEnd w:id="2"/>
      <w:r w:rsidRPr="00BC3B27">
        <w:t>Application</w:t>
      </w:r>
    </w:p>
    <w:p w:rsidR="00000000" w:rsidRPr="00BC3B27" w:rsidP="0098667A">
      <w:pPr>
        <w:pStyle w:val="BodyText"/>
      </w:pPr>
      <w:r w:rsidRPr="00BC3B27">
        <w:t>This unit specifies the skills and knowledge required to establish, develop and man</w:t>
      </w:r>
      <w:r w:rsidRPr="00BC3B27">
        <w:t>age positive relationships with buyers.</w:t>
      </w:r>
    </w:p>
    <w:p w:rsidR="00000000" w:rsidRPr="00BC3B27" w:rsidP="0098667A">
      <w:pPr>
        <w:pStyle w:val="BodyText"/>
      </w:pPr>
      <w:r w:rsidRPr="00BC3B27">
        <w:t>It includes establishing an understanding of buyer needs and expectations, matching these to property, and maintaining relationships and records of engagement with buyers throughout the buying process.</w:t>
      </w:r>
    </w:p>
    <w:p w:rsidR="00000000" w:rsidRPr="00BC3B27" w:rsidP="0098667A">
      <w:pPr>
        <w:pStyle w:val="BodyText"/>
      </w:pPr>
      <w:r w:rsidRPr="00BC3B27">
        <w:t>This unit appl</w:t>
      </w:r>
      <w:r w:rsidRPr="00BC3B27">
        <w:t xml:space="preserve">ies to people currently working in or seeking to work in real estate who apply a knowledge of legislative and compliance requirements, ethical standards and consumer preferences to manage real estate operations. </w:t>
      </w:r>
    </w:p>
    <w:p w:rsidR="00000000" w:rsidRPr="00BC3B27" w:rsidP="0098667A">
      <w:pPr>
        <w:pStyle w:val="BodyText"/>
      </w:pPr>
      <w:r w:rsidRPr="00BC3B27">
        <w:t>State or territory licensing requirements m</w:t>
      </w:r>
      <w:r w:rsidRPr="00BC3B27">
        <w:t xml:space="preserve">ay apply to this unit. </w:t>
      </w:r>
    </w:p>
    <w:p w:rsidR="00000000" w:rsidRPr="00BC3B27" w:rsidP="00BC3B27">
      <w:pPr>
        <w:pStyle w:val="Heading1"/>
      </w:pPr>
      <w:bookmarkStart w:id="3" w:name="O_1020662"/>
      <w:bookmarkEnd w:id="3"/>
      <w:r w:rsidRPr="00BC3B27">
        <w:t>Pre-requisite Unit</w:t>
      </w:r>
    </w:p>
    <w:p w:rsidR="00000000" w:rsidRPr="00BC3B27" w:rsidP="0098667A">
      <w:pPr>
        <w:pStyle w:val="BodyText"/>
      </w:pPr>
      <w:r w:rsidRPr="00BC3B27">
        <w:t>Nil</w:t>
      </w:r>
    </w:p>
    <w:p w:rsidR="00000000" w:rsidRPr="00BC3B27" w:rsidP="00BC3B27">
      <w:pPr>
        <w:pStyle w:val="Heading1"/>
      </w:pPr>
      <w:bookmarkStart w:id="4" w:name="O_1020661"/>
      <w:bookmarkEnd w:id="4"/>
      <w:r w:rsidRPr="00BC3B27">
        <w:t>Unit Sector</w:t>
      </w:r>
    </w:p>
    <w:p w:rsidR="00000000" w:rsidRPr="00BC3B27" w:rsidP="0098667A">
      <w:pPr>
        <w:pStyle w:val="BodyText"/>
      </w:pPr>
      <w:r w:rsidRPr="00BC3B27">
        <w:t>Real estate</w:t>
      </w:r>
    </w:p>
    <w:p w:rsidR="00000000" w:rsidRPr="00BC3B27" w:rsidP="00BC3B27">
      <w:pPr>
        <w:pStyle w:val="Heading1"/>
      </w:pPr>
      <w:bookmarkStart w:id="5" w:name="O_1020660"/>
      <w:bookmarkEnd w:id="5"/>
      <w:r w:rsidRPr="00BC3B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Performance criteria describe the performance needed to demonstrate achievement of the element.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Establish relationship with buyer.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Identify and explain ethical and conduct standards, and legislative requirements to market properties to buyers.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Promote personal and agency brand in communication with buyers.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Respond to and document buyer enquiry to develop agency database.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Clarify and document buyer preferences, including location, property type and price range.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Match buye</w:t>
            </w:r>
            <w:r w:rsidRPr="00BC3B27">
              <w:t>r preferences and expectations to properties for sale.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Maintain buyer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 xml:space="preserve">Identify and present opportunities for buyer to inspect property for sale. 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Interpret buyer feedback on suitability and price of property, and report to vendor.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Develop and document a communication strategy to address buyer expectations.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 xml:space="preserve">Maintain personal, agency and industry standards for ethical practice, client service and confidentiality applicable to buyer relationship. </w:t>
            </w:r>
          </w:p>
        </w:tc>
      </w:tr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27" w:rsidP="00BC3B27">
            <w:pPr>
              <w:pStyle w:val="BodyText"/>
            </w:pPr>
            <w:r w:rsidRPr="00BC3B27">
              <w:t>Identify potential conflicts, plan responses and resolve conflicts within scope of responsibility, and revie</w:t>
            </w:r>
            <w:r w:rsidRPr="00BC3B27">
              <w:t>w and document process.</w:t>
            </w:r>
          </w:p>
        </w:tc>
      </w:tr>
    </w:tbl>
    <w:p w:rsidR="00000000" w:rsidRPr="00BC3B27" w:rsidP="00BC3B27">
      <w:pPr>
        <w:pStyle w:val="BodyText"/>
      </w:pP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6" w:name="O_1020659"/>
      <w:bookmarkEnd w:id="6"/>
      <w:r w:rsidRPr="00BC3B27">
        <w:t>Foundation Skills</w:t>
      </w:r>
    </w:p>
    <w:p w:rsidR="00000000" w:rsidRPr="00BC3B27" w:rsidP="0098667A">
      <w:pPr>
        <w:pStyle w:val="BodyText"/>
      </w:pPr>
      <w:r w:rsidRPr="00BC3B27">
        <w:t>Foundation skills essential to performance are explicit in the performance criteria of this unit of competency.</w:t>
      </w:r>
    </w:p>
    <w:p w:rsidR="00000000" w:rsidRPr="00BC3B27" w:rsidP="00BC3B27">
      <w:pPr>
        <w:pStyle w:val="Heading1"/>
      </w:pPr>
      <w:bookmarkStart w:id="7" w:name="O_1020658"/>
      <w:bookmarkEnd w:id="7"/>
      <w:r w:rsidRPr="00BC3B27">
        <w:t>Unit Mapping Information</w:t>
      </w:r>
    </w:p>
    <w:p w:rsidR="00000000" w:rsidRPr="00BC3B27" w:rsidP="0098667A">
      <w:pPr>
        <w:pStyle w:val="List"/>
      </w:pPr>
      <w:r w:rsidRPr="00BC3B27">
        <w:t xml:space="preserve">No equivalent unit. </w:t>
      </w:r>
    </w:p>
    <w:p w:rsidR="00000000" w:rsidRPr="00BC3B27" w:rsidP="0098667A">
      <w:pPr>
        <w:pStyle w:val="List"/>
      </w:pPr>
      <w:r w:rsidRPr="00BC3B27">
        <w:t>New unit of competency.</w:t>
      </w: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8" w:name="O_1020651"/>
      <w:bookmarkEnd w:id="8"/>
      <w:r w:rsidRPr="00BC3B27">
        <w:t>Links</w:t>
      </w:r>
    </w:p>
    <w:p w:rsidR="00000000" w:rsidRPr="00BC3B27" w:rsidP="0098667A">
      <w:pPr>
        <w:pStyle w:val="BodyText"/>
      </w:pPr>
      <w:r w:rsidRPr="00BC3B2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7C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C3B27" w:rsidP="0098667A">
      <w:pPr>
        <w:pStyle w:val="BodyText"/>
        <w:sectPr w:rsidSect="00BC3B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3B27" w:rsidP="00BC3B27">
      <w:pPr>
        <w:pStyle w:val="SuperHeading"/>
      </w:pPr>
      <w:r w:rsidRPr="00BC3B27">
        <w:t>Assessment Requirements for CPPREP4104 Establish buyer relationships</w:t>
      </w:r>
    </w:p>
    <w:p w:rsidR="00000000" w:rsidRPr="00BC3B27" w:rsidP="00BC3B27">
      <w:pPr>
        <w:pStyle w:val="Heading1"/>
      </w:pPr>
      <w:bookmarkStart w:id="9" w:name="O_1020653"/>
      <w:bookmarkEnd w:id="9"/>
      <w:r w:rsidRPr="00BC3B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C3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27">
            <w:pPr>
              <w:pStyle w:val="BodyText"/>
              <w:rPr>
                <w:lang w:val="en-NZ"/>
              </w:rPr>
            </w:pPr>
            <w:r w:rsidRPr="00BC3B2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27" w:rsidP="00BC3B27">
            <w:pPr>
              <w:pStyle w:val="BodyText"/>
            </w:pPr>
            <w:r w:rsidRPr="00BC3B27">
              <w:t>This version first released with CPP Property Services Training Package Release 8.0.</w:t>
            </w:r>
          </w:p>
          <w:p w:rsidR="00000000" w:rsidRPr="00BC3B27" w:rsidP="00BC3B27">
            <w:pPr>
              <w:pStyle w:val="BodyText"/>
            </w:pPr>
            <w:r w:rsidRPr="00BC3B27">
              <w:t>New unit of competency.</w:t>
            </w:r>
          </w:p>
        </w:tc>
      </w:tr>
    </w:tbl>
    <w:p w:rsidR="00000000" w:rsidRPr="00BC3B27" w:rsidP="00BC3B27">
      <w:pPr>
        <w:pStyle w:val="BodyText"/>
      </w:pP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10" w:name="O_1020656"/>
      <w:bookmarkEnd w:id="10"/>
      <w:r w:rsidRPr="00BC3B27">
        <w:t>Pe</w:t>
      </w:r>
      <w:r w:rsidRPr="00BC3B27">
        <w:t>rformance Evidence</w:t>
      </w:r>
    </w:p>
    <w:p w:rsidR="00000000" w:rsidRPr="00BC3B27" w:rsidP="0098667A">
      <w:pPr>
        <w:pStyle w:val="BodyText"/>
      </w:pPr>
      <w:r w:rsidRPr="00BC3B27">
        <w:t>To demonstrate competency in this unit, a person must:</w:t>
      </w:r>
    </w:p>
    <w:p w:rsidR="00000000" w:rsidRPr="00BC3B27" w:rsidP="00BC3B27">
      <w:pPr>
        <w:pStyle w:val="ListBullet"/>
      </w:pPr>
      <w:r w:rsidRPr="00BC3B27">
        <w:t>document the process and actions to respond to two different methods of buyer enquiry</w:t>
      </w:r>
    </w:p>
    <w:p w:rsidR="00000000" w:rsidRPr="00BC3B27" w:rsidP="00BC3B27">
      <w:pPr>
        <w:pStyle w:val="ListBullet"/>
      </w:pPr>
      <w:r w:rsidRPr="00BC3B27">
        <w:t>demonstrate how the needs and expectations of two buyers are matched to properties from a selection of at least six different property profiles</w:t>
      </w:r>
    </w:p>
    <w:p w:rsidR="00000000" w:rsidRPr="00BC3B27" w:rsidP="00BC3B27">
      <w:pPr>
        <w:pStyle w:val="ListBullet"/>
      </w:pPr>
      <w:r w:rsidRPr="00BC3B27">
        <w:t>develop a communication strategy, including record keeping processes, to address buyer expectations.</w:t>
      </w:r>
    </w:p>
    <w:p w:rsidR="00000000" w:rsidRPr="00BC3B27" w:rsidP="0098667A">
      <w:pPr>
        <w:pStyle w:val="BodyText"/>
      </w:pPr>
      <w:r w:rsidRPr="00BC3B27">
        <w:t>In doing th</w:t>
      </w:r>
      <w:r w:rsidRPr="00BC3B27">
        <w:t>is, the person must meet the performance criteria for this unit.</w:t>
      </w:r>
    </w:p>
    <w:p w:rsidR="00000000" w:rsidRPr="00BC3B27" w:rsidP="00BC3B27">
      <w:pPr>
        <w:pStyle w:val="Heading1"/>
      </w:pPr>
      <w:bookmarkStart w:id="11" w:name="O_1020655"/>
      <w:bookmarkEnd w:id="11"/>
      <w:r w:rsidRPr="00BC3B27">
        <w:t>Knowledge Evidence</w:t>
      </w:r>
    </w:p>
    <w:p w:rsidR="00000000" w:rsidRPr="00BC3B27" w:rsidP="0098667A">
      <w:pPr>
        <w:pStyle w:val="BodyText"/>
      </w:pPr>
      <w:r w:rsidRPr="00BC3B27">
        <w:t>To be competent in this unit, a person must demonstrate knowledge of:</w:t>
      </w:r>
    </w:p>
    <w:p w:rsidR="00000000" w:rsidRPr="00BC3B27" w:rsidP="00BC3B27">
      <w:pPr>
        <w:pStyle w:val="ListBullet"/>
      </w:pPr>
      <w:r w:rsidRPr="00BC3B27">
        <w:t>role of agent, agency and personal brand in establishing and managing buyer relati</w:t>
      </w:r>
      <w:r w:rsidRPr="00BC3B27">
        <w:t>onships including fees, charges and conditions</w:t>
      </w:r>
    </w:p>
    <w:p w:rsidR="00000000" w:rsidRPr="00BC3B27" w:rsidP="00BC3B27">
      <w:pPr>
        <w:pStyle w:val="ListBullet"/>
      </w:pPr>
      <w:r w:rsidRPr="00BC3B27">
        <w:t>methods of buyer enquiry, including two of the following:</w:t>
      </w:r>
    </w:p>
    <w:p w:rsidR="00000000" w:rsidRPr="00BC3B27" w:rsidP="00BC3B27">
      <w:pPr>
        <w:pStyle w:val="ListBullet2"/>
      </w:pPr>
      <w:r w:rsidRPr="00BC3B27">
        <w:t>open home</w:t>
      </w:r>
    </w:p>
    <w:p w:rsidR="00000000" w:rsidRPr="00BC3B27" w:rsidP="00BC3B27">
      <w:pPr>
        <w:pStyle w:val="ListBullet2"/>
      </w:pPr>
      <w:r w:rsidRPr="00BC3B27">
        <w:t>email</w:t>
      </w:r>
    </w:p>
    <w:p w:rsidR="00000000" w:rsidRPr="00BC3B27" w:rsidP="00BC3B27">
      <w:pPr>
        <w:pStyle w:val="ListBullet2"/>
      </w:pPr>
      <w:r w:rsidRPr="00BC3B27">
        <w:t>phone</w:t>
      </w:r>
    </w:p>
    <w:p w:rsidR="00000000" w:rsidRPr="00BC3B27" w:rsidP="00BC3B27">
      <w:pPr>
        <w:pStyle w:val="ListBullet2"/>
      </w:pPr>
      <w:r w:rsidRPr="00BC3B27">
        <w:t>website</w:t>
      </w:r>
    </w:p>
    <w:p w:rsidR="00000000" w:rsidRPr="00BC3B27" w:rsidP="00BC3B27">
      <w:pPr>
        <w:pStyle w:val="ListBullet2"/>
      </w:pPr>
      <w:r w:rsidRPr="00BC3B27">
        <w:t>walk-in</w:t>
      </w:r>
    </w:p>
    <w:p w:rsidR="00000000" w:rsidRPr="00BC3B27" w:rsidP="00BC3B27">
      <w:pPr>
        <w:pStyle w:val="ListBullet2"/>
      </w:pPr>
      <w:r w:rsidRPr="00BC3B27">
        <w:t>referral</w:t>
      </w:r>
    </w:p>
    <w:p w:rsidR="00000000" w:rsidRPr="00BC3B27" w:rsidP="00BC3B27">
      <w:pPr>
        <w:pStyle w:val="ListBullet"/>
      </w:pPr>
      <w:r w:rsidRPr="00BC3B27">
        <w:t>communication styles and techniques to:</w:t>
      </w:r>
    </w:p>
    <w:p w:rsidR="00000000" w:rsidRPr="00BC3B27" w:rsidP="00BC3B27">
      <w:pPr>
        <w:pStyle w:val="ListBullet2"/>
      </w:pPr>
      <w:r w:rsidRPr="00BC3B27">
        <w:t>identify and clarify preferences, expectations, needs and motivation of buyers</w:t>
      </w:r>
    </w:p>
    <w:p w:rsidR="00000000" w:rsidRPr="00BC3B27" w:rsidP="00BC3B27">
      <w:pPr>
        <w:pStyle w:val="ListBullet2"/>
      </w:pPr>
      <w:r w:rsidRPr="00BC3B27">
        <w:t>qualify buyers</w:t>
      </w:r>
    </w:p>
    <w:p w:rsidR="00000000" w:rsidRPr="00BC3B27" w:rsidP="00BC3B27">
      <w:pPr>
        <w:pStyle w:val="ListBullet2"/>
      </w:pPr>
      <w:r w:rsidRPr="00BC3B27">
        <w:t>present properties to buyers</w:t>
      </w:r>
    </w:p>
    <w:p w:rsidR="00000000" w:rsidRPr="00BC3B27" w:rsidP="00BC3B27">
      <w:pPr>
        <w:pStyle w:val="ListBullet"/>
      </w:pPr>
      <w:r w:rsidRPr="00BC3B27">
        <w:t>strategies to match properties to buyers</w:t>
      </w:r>
    </w:p>
    <w:p w:rsidR="00000000" w:rsidRPr="00BC3B27" w:rsidP="00BC3B27">
      <w:pPr>
        <w:pStyle w:val="ListBullet"/>
      </w:pPr>
      <w:r w:rsidRPr="00BC3B27">
        <w:t>methods of sale of property</w:t>
      </w:r>
    </w:p>
    <w:p w:rsidR="00000000" w:rsidRPr="00BC3B27" w:rsidP="00BC3B27">
      <w:pPr>
        <w:pStyle w:val="ListBullet"/>
      </w:pPr>
      <w:r w:rsidRPr="00BC3B27">
        <w:t>techniques for establishing and maintaining relationships</w:t>
      </w:r>
    </w:p>
    <w:p w:rsidR="00000000" w:rsidRPr="00BC3B27" w:rsidP="00BC3B27">
      <w:pPr>
        <w:pStyle w:val="ListBullet"/>
      </w:pPr>
      <w:r w:rsidRPr="00BC3B27">
        <w:t>techn</w:t>
      </w:r>
      <w:r w:rsidRPr="00BC3B27">
        <w:t>iques to identify and manage disputes and conflict:</w:t>
      </w:r>
    </w:p>
    <w:p w:rsidR="00000000" w:rsidRPr="00BC3B27" w:rsidP="00BC3B27">
      <w:pPr>
        <w:pStyle w:val="ListBullet2"/>
      </w:pPr>
      <w:r w:rsidRPr="00BC3B27">
        <w:t>conciliation and mediation</w:t>
      </w:r>
    </w:p>
    <w:p w:rsidR="00000000" w:rsidRPr="00BC3B27" w:rsidP="00BC3B27">
      <w:pPr>
        <w:pStyle w:val="ListBullet2"/>
      </w:pPr>
      <w:r w:rsidRPr="00BC3B27">
        <w:t>third-party managed processes</w:t>
      </w:r>
    </w:p>
    <w:p w:rsidR="00000000" w:rsidRPr="00BC3B27" w:rsidP="00BC3B27">
      <w:pPr>
        <w:pStyle w:val="ListBullet"/>
      </w:pPr>
      <w:r w:rsidRPr="00BC3B27">
        <w:t>legislation and ethical practice in buyer relationships:</w:t>
      </w:r>
    </w:p>
    <w:p w:rsidR="00000000" w:rsidRPr="00BC3B27" w:rsidP="00BC3B27">
      <w:pPr>
        <w:pStyle w:val="ListBullet2"/>
      </w:pPr>
      <w:r w:rsidRPr="00BC3B27">
        <w:t>disclosures</w:t>
      </w:r>
    </w:p>
    <w:p w:rsidR="00000000" w:rsidRPr="00BC3B27" w:rsidP="00BC3B27">
      <w:pPr>
        <w:pStyle w:val="ListBullet2"/>
      </w:pPr>
      <w:r w:rsidRPr="00BC3B27">
        <w:t>privacy</w:t>
      </w:r>
    </w:p>
    <w:p w:rsidR="00000000" w:rsidRPr="00BC3B27" w:rsidP="00BC3B27">
      <w:pPr>
        <w:pStyle w:val="ListBullet2"/>
      </w:pPr>
      <w:r w:rsidRPr="00BC3B27">
        <w:t>conflict of interest</w:t>
      </w:r>
    </w:p>
    <w:p w:rsidR="00000000" w:rsidRPr="00BC3B27" w:rsidP="00BC3B27">
      <w:pPr>
        <w:pStyle w:val="ListBullet2"/>
      </w:pPr>
      <w:r w:rsidRPr="00BC3B27">
        <w:t>complaint-handling</w:t>
      </w:r>
    </w:p>
    <w:p w:rsidR="00000000" w:rsidRPr="00BC3B27" w:rsidP="00BC3B27">
      <w:pPr>
        <w:pStyle w:val="ListBullet"/>
      </w:pPr>
      <w:r w:rsidRPr="00BC3B27">
        <w:t>record keeping relating to buyer relationship and interactions.</w:t>
      </w: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12" w:name="O_1020654"/>
      <w:bookmarkEnd w:id="12"/>
      <w:r w:rsidRPr="00BC3B27">
        <w:t>Assessment Conditions</w:t>
      </w:r>
    </w:p>
    <w:p w:rsidR="00000000" w:rsidRPr="00BC3B27" w:rsidP="0098667A">
      <w:pPr>
        <w:pStyle w:val="BodyText"/>
      </w:pPr>
      <w:r w:rsidRPr="00BC3B27">
        <w:t xml:space="preserve">Assessors must satisfy the requirements for assessors listed in the Standards for Registered Training Organisations. </w:t>
      </w:r>
    </w:p>
    <w:p w:rsidR="00000000" w:rsidRPr="00BC3B27" w:rsidP="0098667A">
      <w:pPr>
        <w:pStyle w:val="BodyText"/>
      </w:pPr>
      <w:r w:rsidRPr="00BC3B27">
        <w:t>Assessment must be conducted in t</w:t>
      </w:r>
      <w:r w:rsidRPr="00BC3B27">
        <w:t>he workplace or in a simulated workplace environment.</w:t>
      </w:r>
    </w:p>
    <w:p w:rsidR="00000000" w:rsidRPr="00BC3B27" w:rsidP="0098667A">
      <w:pPr>
        <w:pStyle w:val="BodyText"/>
      </w:pPr>
      <w:r w:rsidRPr="00BC3B27">
        <w:t>Assessors are responsible for ensuring that the person demonstrating competency has access to:</w:t>
      </w:r>
    </w:p>
    <w:p w:rsidR="00000000" w:rsidRPr="00BC3B27" w:rsidP="00BC3B27">
      <w:pPr>
        <w:pStyle w:val="ListBullet"/>
      </w:pPr>
      <w:r w:rsidRPr="00BC3B27">
        <w:t>records and databases for properties available for sale</w:t>
      </w:r>
    </w:p>
    <w:p w:rsidR="00000000" w:rsidRPr="00BC3B27" w:rsidP="00BC3B27">
      <w:pPr>
        <w:pStyle w:val="ListBullet"/>
      </w:pPr>
      <w:r w:rsidRPr="00BC3B27">
        <w:t>property profiles for at least six properties</w:t>
      </w:r>
    </w:p>
    <w:p w:rsidR="00000000" w:rsidRPr="00BC3B27" w:rsidP="00BC3B27">
      <w:pPr>
        <w:pStyle w:val="ListBullet"/>
      </w:pPr>
      <w:r w:rsidRPr="00BC3B27">
        <w:t>buyer profiles for two buyers</w:t>
      </w:r>
    </w:p>
    <w:p w:rsidR="00000000" w:rsidRPr="00BC3B27" w:rsidP="00BC3B27">
      <w:pPr>
        <w:pStyle w:val="ListBullet"/>
      </w:pPr>
      <w:r w:rsidRPr="00BC3B27">
        <w:t>procedures and forms for taking buyer enquiries and qualifying buyers</w:t>
      </w:r>
    </w:p>
    <w:p w:rsidR="00000000" w:rsidRPr="00BC3B27" w:rsidP="00BC3B27">
      <w:pPr>
        <w:pStyle w:val="ListBullet"/>
      </w:pPr>
      <w:r w:rsidRPr="00BC3B27">
        <w:t>legislation and standards applying to real estate transactions in the state or territory of operation.</w:t>
      </w:r>
    </w:p>
    <w:p w:rsidR="00000000" w:rsidRPr="00BC3B27" w:rsidP="00BC3B27">
      <w:pPr>
        <w:pStyle w:val="AllowPageBreak"/>
      </w:pPr>
    </w:p>
    <w:p w:rsidR="00000000" w:rsidRPr="00BC3B27" w:rsidP="00BC3B27">
      <w:pPr>
        <w:pStyle w:val="Heading1"/>
      </w:pPr>
      <w:bookmarkStart w:id="13" w:name="O_1020652"/>
      <w:bookmarkEnd w:id="13"/>
      <w:r w:rsidRPr="00BC3B27">
        <w:t>Links</w:t>
      </w:r>
    </w:p>
    <w:p w:rsidR="00000000" w:rsidRPr="00BC3B27" w:rsidP="0098667A">
      <w:pPr>
        <w:pStyle w:val="BodyText"/>
      </w:pPr>
      <w:r w:rsidRPr="00BC3B27">
        <w:t>Companion volumes to this tr</w:t>
      </w:r>
      <w:r w:rsidRPr="00BC3B27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7C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C3B27" w:rsidP="00BC3B27"/>
    <w:sectPr w:rsidSect="00BC3B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 w:rsidRPr="0098667A" w:rsidP="00986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7A" w:rsidP="00BC3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67A" w:rsidP="00BC3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667A" w:rsidP="00BC3B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 w:rsidP="00BC3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667A">
      <w:t>Approved</w:t>
    </w:r>
    <w:r w:rsidR="00986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6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667A">
      <w:rPr>
        <w:noProof/>
      </w:rPr>
      <w:t>4</w:t>
    </w:r>
    <w:r>
      <w:rPr>
        <w:noProof/>
      </w:rPr>
      <w:fldChar w:fldCharType="end"/>
    </w:r>
  </w:p>
  <w:p w:rsidR="00BC3B27" w:rsidP="00BC3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6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667A">
      <w:t>BuildSkills Australia</w:t>
    </w:r>
    <w:r w:rsidR="0098667A">
      <w:fldChar w:fldCharType="end"/>
    </w:r>
  </w:p>
  <w:p w:rsidR="00BC3B27" w:rsidP="00BC3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B27" w:rsidRPr="0098667A" w:rsidP="00986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7A" w:rsidRPr="002D2AF8" w:rsidP="00BC3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CPPREP4104 Establish buyer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667A" w:rsidP="00BC3B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27" w:rsidRPr="002D2AF8" w:rsidP="00BC3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667A">
      <w:t>CPPREP4104 Establish buyer relationships</w:t>
    </w:r>
    <w:r w:rsidR="00986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667A">
      <w:rPr>
        <w:noProof/>
      </w:rPr>
      <w:t>2 March 2025</w:t>
    </w:r>
    <w:r>
      <w:fldChar w:fldCharType="end"/>
    </w:r>
  </w:p>
  <w:p w:rsidR="00BC3B27" w:rsidP="00BC3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6D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C5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709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B27"/>
  </w:style>
  <w:style w:type="character" w:customStyle="1" w:styleId="Heading1Char">
    <w:name w:val="Heading 1 Char"/>
    <w:basedOn w:val="DefaultParagraphFont"/>
    <w:link w:val="Heading1"/>
    <w:rsid w:val="00BC3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B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3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B27"/>
    <w:rPr>
      <w:b/>
      <w:spacing w:val="0"/>
    </w:rPr>
  </w:style>
  <w:style w:type="paragraph" w:customStyle="1" w:styleId="SuperTitle">
    <w:name w:val="SuperTitle"/>
    <w:basedOn w:val="Title"/>
    <w:rsid w:val="00BC3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B27"/>
    <w:rPr>
      <w:i/>
    </w:rPr>
  </w:style>
  <w:style w:type="paragraph" w:styleId="Caption">
    <w:name w:val="caption"/>
    <w:basedOn w:val="BodyText"/>
    <w:next w:val="Normal"/>
    <w:qFormat/>
    <w:rsid w:val="00BC3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B27"/>
  </w:style>
  <w:style w:type="paragraph" w:styleId="TableofFigures">
    <w:name w:val="table of figures"/>
    <w:basedOn w:val="Normal"/>
    <w:next w:val="Normal"/>
    <w:semiHidden/>
    <w:rsid w:val="00BC3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3B27"/>
    <w:rPr>
      <w:rFonts w:ascii="Wingdings" w:hAnsi="Wingdings"/>
    </w:rPr>
  </w:style>
  <w:style w:type="paragraph" w:customStyle="1" w:styleId="TableHeading">
    <w:name w:val="Table Heading"/>
    <w:basedOn w:val="HeadingBase"/>
    <w:rsid w:val="00BC3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B27"/>
    <w:rPr>
      <w:color w:val="0033CC"/>
      <w:u w:val="none"/>
    </w:rPr>
  </w:style>
  <w:style w:type="paragraph" w:customStyle="1" w:styleId="BodyTextRight">
    <w:name w:val="Body Text Right"/>
    <w:basedOn w:val="BodyText"/>
    <w:rsid w:val="00BC3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B27"/>
    <w:rPr>
      <w:sz w:val="32"/>
    </w:rPr>
  </w:style>
  <w:style w:type="paragraph" w:customStyle="1" w:styleId="HeadingProcedure">
    <w:name w:val="Heading Procedure"/>
    <w:basedOn w:val="HeadingBase"/>
    <w:next w:val="Normal"/>
    <w:rsid w:val="00BC3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B27"/>
    <w:pPr>
      <w:spacing w:before="60" w:after="60"/>
    </w:pPr>
  </w:style>
  <w:style w:type="paragraph" w:styleId="ListContinue">
    <w:name w:val="List Continue"/>
    <w:basedOn w:val="List"/>
    <w:rsid w:val="00BC3B27"/>
    <w:pPr>
      <w:ind w:firstLine="0"/>
    </w:pPr>
  </w:style>
  <w:style w:type="paragraph" w:customStyle="1" w:styleId="ListNote">
    <w:name w:val="List Note"/>
    <w:basedOn w:val="List"/>
    <w:rsid w:val="00BC3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B27"/>
    <w:rPr>
      <w:rFonts w:ascii="Courier New" w:hAnsi="Courier New"/>
    </w:rPr>
  </w:style>
  <w:style w:type="paragraph" w:customStyle="1" w:styleId="NoteBullet">
    <w:name w:val="Note Bullet"/>
    <w:basedOn w:val="Note"/>
    <w:rsid w:val="00BC3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B27"/>
    <w:rPr>
      <w:b/>
      <w:smallCaps/>
    </w:rPr>
  </w:style>
  <w:style w:type="paragraph" w:customStyle="1" w:styleId="TableListNumber">
    <w:name w:val="Table List Number"/>
    <w:basedOn w:val="ListNumber"/>
    <w:rsid w:val="00BC3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B27"/>
    <w:pPr>
      <w:numPr>
        <w:numId w:val="9"/>
      </w:numPr>
    </w:pPr>
  </w:style>
  <w:style w:type="paragraph" w:customStyle="1" w:styleId="ListAlpha2">
    <w:name w:val="List Alpha 2"/>
    <w:basedOn w:val="List2"/>
    <w:rsid w:val="00BC3B27"/>
    <w:pPr>
      <w:numPr>
        <w:numId w:val="8"/>
      </w:numPr>
    </w:pPr>
  </w:style>
  <w:style w:type="paragraph" w:styleId="List2">
    <w:name w:val="List 2"/>
    <w:basedOn w:val="BodyText"/>
    <w:rsid w:val="00BC3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3B27"/>
    <w:pPr>
      <w:numPr>
        <w:numId w:val="4"/>
      </w:numPr>
    </w:pPr>
  </w:style>
  <w:style w:type="paragraph" w:styleId="ListContinue2">
    <w:name w:val="List Continue 2"/>
    <w:basedOn w:val="List2"/>
    <w:rsid w:val="00BC3B27"/>
    <w:pPr>
      <w:ind w:firstLine="0"/>
    </w:pPr>
  </w:style>
  <w:style w:type="paragraph" w:styleId="ListContinue3">
    <w:name w:val="List Continue 3"/>
    <w:basedOn w:val="List3"/>
    <w:rsid w:val="00BC3B27"/>
    <w:pPr>
      <w:ind w:left="1021" w:firstLine="0"/>
    </w:pPr>
  </w:style>
  <w:style w:type="paragraph" w:styleId="ListContinue4">
    <w:name w:val="List Continue 4"/>
    <w:basedOn w:val="List4"/>
    <w:rsid w:val="00BC3B27"/>
    <w:pPr>
      <w:ind w:firstLine="0"/>
    </w:pPr>
  </w:style>
  <w:style w:type="paragraph" w:styleId="ListContinue5">
    <w:name w:val="List Continue 5"/>
    <w:basedOn w:val="List5"/>
    <w:rsid w:val="00BC3B27"/>
    <w:pPr>
      <w:ind w:firstLine="0"/>
    </w:pPr>
  </w:style>
  <w:style w:type="paragraph" w:styleId="ListNumber3">
    <w:name w:val="List Number 3"/>
    <w:basedOn w:val="List3"/>
    <w:rsid w:val="00BC3B27"/>
    <w:pPr>
      <w:numPr>
        <w:numId w:val="5"/>
      </w:numPr>
    </w:pPr>
  </w:style>
  <w:style w:type="paragraph" w:styleId="ListNumber4">
    <w:name w:val="List Number 4"/>
    <w:basedOn w:val="List4"/>
    <w:rsid w:val="00BC3B27"/>
    <w:pPr>
      <w:numPr>
        <w:numId w:val="6"/>
      </w:numPr>
    </w:pPr>
  </w:style>
  <w:style w:type="paragraph" w:styleId="ListNumber5">
    <w:name w:val="List Number 5"/>
    <w:basedOn w:val="List5"/>
    <w:rsid w:val="00BC3B27"/>
    <w:pPr>
      <w:numPr>
        <w:numId w:val="7"/>
      </w:numPr>
    </w:pPr>
  </w:style>
  <w:style w:type="paragraph" w:styleId="BlockText">
    <w:name w:val="Block Text"/>
    <w:basedOn w:val="Normal"/>
    <w:rsid w:val="00BC3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B27"/>
    <w:rPr>
      <w:sz w:val="16"/>
      <w:vertAlign w:val="superscript"/>
    </w:rPr>
  </w:style>
  <w:style w:type="character" w:customStyle="1" w:styleId="Symbols">
    <w:name w:val="Symbols"/>
    <w:basedOn w:val="DefaultParagraphFont"/>
    <w:rsid w:val="00BC3B27"/>
    <w:rPr>
      <w:rFonts w:ascii="Symbol" w:hAnsi="Symbol"/>
    </w:rPr>
  </w:style>
  <w:style w:type="character" w:customStyle="1" w:styleId="MenuOptions">
    <w:name w:val="Menu Options"/>
    <w:basedOn w:val="DefaultParagraphFont"/>
    <w:rsid w:val="00BC3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B27"/>
    <w:rPr>
      <w:b/>
    </w:rPr>
  </w:style>
  <w:style w:type="character" w:customStyle="1" w:styleId="Underlined">
    <w:name w:val="Underlined"/>
    <w:basedOn w:val="DefaultParagraphFont"/>
    <w:rsid w:val="00BC3B27"/>
    <w:rPr>
      <w:u w:val="single"/>
    </w:rPr>
  </w:style>
  <w:style w:type="paragraph" w:customStyle="1" w:styleId="TableBodyTextRight">
    <w:name w:val="Table Body Text Right"/>
    <w:basedOn w:val="TableBodyText"/>
    <w:rsid w:val="00BC3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B27"/>
    <w:rPr>
      <w:sz w:val="18"/>
    </w:rPr>
  </w:style>
  <w:style w:type="paragraph" w:customStyle="1" w:styleId="BodySmallRight">
    <w:name w:val="Body Small Right"/>
    <w:basedOn w:val="BodyTextRight"/>
    <w:rsid w:val="00BC3B27"/>
    <w:rPr>
      <w:sz w:val="18"/>
      <w:szCs w:val="18"/>
    </w:rPr>
  </w:style>
  <w:style w:type="paragraph" w:customStyle="1" w:styleId="MarginEdition">
    <w:name w:val="Margin Edition"/>
    <w:basedOn w:val="MarginNote"/>
    <w:rsid w:val="00BC3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B27"/>
    <w:rPr>
      <w:sz w:val="2"/>
      <w:szCs w:val="2"/>
    </w:rPr>
  </w:style>
  <w:style w:type="character" w:customStyle="1" w:styleId="Small">
    <w:name w:val="Small"/>
    <w:basedOn w:val="DefaultParagraphFont"/>
    <w:rsid w:val="00BC3B27"/>
    <w:rPr>
      <w:sz w:val="16"/>
    </w:rPr>
  </w:style>
  <w:style w:type="paragraph" w:customStyle="1" w:styleId="WideTable">
    <w:name w:val="Wide Table"/>
    <w:basedOn w:val="Normal"/>
    <w:rsid w:val="00BC3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B27"/>
  </w:style>
  <w:style w:type="paragraph" w:styleId="Quote">
    <w:name w:val="Quote"/>
    <w:basedOn w:val="Heading1"/>
    <w:link w:val="QuoteChar"/>
    <w:qFormat/>
    <w:rsid w:val="00BC3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B27"/>
    <w:pPr>
      <w:pageBreakBefore/>
    </w:pPr>
  </w:style>
  <w:style w:type="paragraph" w:customStyle="1" w:styleId="Border">
    <w:name w:val="Border"/>
    <w:basedOn w:val="Normal"/>
    <w:qFormat/>
    <w:rsid w:val="00BC3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B27"/>
    <w:rPr>
      <w:u w:val="single"/>
    </w:rPr>
  </w:style>
  <w:style w:type="character" w:customStyle="1" w:styleId="BoldandItalics">
    <w:name w:val="Bold and Italics"/>
    <w:qFormat/>
    <w:rsid w:val="00BC3B27"/>
    <w:rPr>
      <w:b/>
      <w:i/>
      <w:u w:val="none"/>
    </w:rPr>
  </w:style>
  <w:style w:type="paragraph" w:styleId="BalloonText">
    <w:name w:val="Balloon Text"/>
    <w:basedOn w:val="Normal"/>
    <w:link w:val="BalloonTextChar"/>
    <w:rsid w:val="00BC3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B27"/>
    <w:pPr>
      <w:spacing w:before="0" w:after="0"/>
    </w:pPr>
  </w:style>
  <w:style w:type="paragraph" w:customStyle="1" w:styleId="BodyTextBold">
    <w:name w:val="Body Text Bold"/>
    <w:basedOn w:val="BodyText"/>
    <w:qFormat/>
    <w:rsid w:val="00BC3B27"/>
    <w:rPr>
      <w:b/>
    </w:rPr>
  </w:style>
  <w:style w:type="character" w:styleId="Hyperlink">
    <w:name w:val="Hyperlink"/>
    <w:basedOn w:val="DefaultParagraphFont"/>
    <w:uiPriority w:val="99"/>
    <w:unhideWhenUsed/>
    <w:rsid w:val="00986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4490</Characters>
  <Application>Microsoft Office Word</Application>
  <DocSecurity>0</DocSecurity>
  <Lines>179</Lines>
  <Paragraphs>117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CPPREP4104 Establish buyer relationships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