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1D6" w:rsidP="004B61D6">
      <w:pPr>
        <w:pStyle w:val="Title"/>
      </w:pPr>
      <w:r>
        <w:fldChar w:fldCharType="begin"/>
      </w:r>
      <w:r>
        <w:instrText xml:space="preserve"> TITLE   \* MERGEFORMAT </w:instrText>
      </w:r>
      <w:r>
        <w:fldChar w:fldCharType="separate"/>
      </w:r>
      <w:r>
        <w:t>Assessment Requirements for CPPREP4101 Appraise property for sale or lease</w:t>
      </w:r>
      <w:r>
        <w:fldChar w:fldCharType="end"/>
      </w:r>
    </w:p>
    <w:p w:rsidR="004B61D6" w:rsidP="004B61D6">
      <w:pPr>
        <w:pStyle w:val="Version"/>
        <w:sectPr w:rsidSect="001B1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306" w:rsidP="001B1306">
      <w:pPr>
        <w:pStyle w:val="SuperHeading"/>
      </w:pPr>
      <w:r w:rsidRPr="001B1306">
        <w:t>Assessment Requirements for CPPREP4101 Appraise property for sale or lease</w:t>
      </w:r>
    </w:p>
    <w:p w:rsidR="00000000" w:rsidRPr="001B1306" w:rsidP="001B1306">
      <w:pPr>
        <w:pStyle w:val="Heading1"/>
      </w:pPr>
      <w:bookmarkStart w:id="1" w:name="O_1020602"/>
      <w:bookmarkEnd w:id="1"/>
      <w:r w:rsidRPr="001B1306">
        <w:t>Modification History</w:t>
      </w:r>
    </w:p>
    <w:tbl>
      <w:tblPr>
        <w:tblW w:w="0" w:type="auto"/>
        <w:tblLayout w:type="fixed"/>
        <w:tblCellMar>
          <w:left w:w="62" w:type="dxa"/>
          <w:right w:w="62" w:type="dxa"/>
        </w:tblCellMar>
        <w:tblLook w:val="0000"/>
      </w:tblPr>
      <w:tblGrid>
        <w:gridCol w:w="1128"/>
        <w:gridCol w:w="7944"/>
      </w:tblGrid>
      <w:tr w:rsidTr="001B13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B1306">
            <w:pPr>
              <w:pStyle w:val="BodyText"/>
              <w:rPr>
                <w:lang w:val="en-NZ"/>
              </w:rPr>
            </w:pPr>
            <w:r w:rsidRPr="001B1306">
              <w:t>Release 1</w:t>
            </w:r>
          </w:p>
        </w:tc>
        <w:tc>
          <w:tcPr>
            <w:tcW w:w="7944" w:type="dxa"/>
            <w:tcBorders>
              <w:top w:val="nil"/>
              <w:left w:val="nil"/>
              <w:bottom w:val="nil"/>
              <w:right w:val="nil"/>
            </w:tcBorders>
            <w:tcMar>
              <w:top w:w="0" w:type="dxa"/>
              <w:left w:w="62" w:type="dxa"/>
              <w:bottom w:w="0" w:type="dxa"/>
              <w:right w:w="62" w:type="dxa"/>
            </w:tcMar>
          </w:tcPr>
          <w:p w:rsidR="00000000" w:rsidRPr="001B1306" w:rsidP="001B1306">
            <w:pPr>
              <w:pStyle w:val="BodyText"/>
            </w:pPr>
            <w:r w:rsidRPr="001B1306">
              <w:t>This version first released with CPP Property Services Training Package Release 8.0.</w:t>
            </w:r>
          </w:p>
          <w:p w:rsidR="00000000" w:rsidRPr="001B1306" w:rsidP="001B1306">
            <w:pPr>
              <w:pStyle w:val="BodyText"/>
            </w:pPr>
            <w:r w:rsidRPr="001B1306">
              <w:t>Supersedes but is not equivalent to CPPDSM4003A Appraise property, CPPDSM4012A List property for sale, CPPDSM4025A Advise on performance of asset, CPPDSM4030A Appraise rural property and CPPDSM4064A Participate in research of property investment.</w:t>
            </w:r>
          </w:p>
          <w:p w:rsidR="00000000" w:rsidRPr="001B1306" w:rsidP="001B1306">
            <w:pPr>
              <w:pStyle w:val="BodyText"/>
            </w:pPr>
            <w:r w:rsidRPr="001B1306">
              <w:t>Merged to</w:t>
            </w:r>
            <w:r w:rsidRPr="001B1306">
              <w:t xml:space="preserve"> reduce duplication. Updated to the Standards for Training Packages.</w:t>
            </w:r>
          </w:p>
        </w:tc>
      </w:tr>
    </w:tbl>
    <w:p w:rsidR="00000000" w:rsidRPr="001B1306" w:rsidP="001B1306">
      <w:pPr>
        <w:pStyle w:val="BodyText"/>
      </w:pPr>
    </w:p>
    <w:p w:rsidR="00000000" w:rsidRPr="001B1306" w:rsidP="001B1306">
      <w:pPr>
        <w:pStyle w:val="AllowPageBreak"/>
      </w:pPr>
    </w:p>
    <w:p w:rsidR="00000000" w:rsidRPr="001B1306" w:rsidP="001B1306">
      <w:pPr>
        <w:pStyle w:val="Heading1"/>
      </w:pPr>
      <w:bookmarkStart w:id="2" w:name="O_1020605"/>
      <w:bookmarkEnd w:id="2"/>
      <w:r w:rsidRPr="001B1306">
        <w:t>Performance Evidence</w:t>
      </w:r>
    </w:p>
    <w:p w:rsidR="00000000" w:rsidRPr="001B1306" w:rsidP="004B61D6">
      <w:pPr>
        <w:pStyle w:val="BodyText"/>
      </w:pPr>
      <w:r w:rsidRPr="001B1306">
        <w:t xml:space="preserve">To demonstrate competency in this unit, a person must appraise two different types of properties in the same geographical area for two different </w:t>
      </w:r>
      <w:r w:rsidRPr="001B1306">
        <w:t>appraisal purposes.</w:t>
      </w:r>
    </w:p>
    <w:p w:rsidR="00000000" w:rsidRPr="001B1306" w:rsidP="004B61D6">
      <w:pPr>
        <w:pStyle w:val="BodyText"/>
      </w:pPr>
      <w:r w:rsidRPr="001B1306">
        <w:t>At least one property must be chosen from the type of property list below:</w:t>
      </w:r>
    </w:p>
    <w:p w:rsidR="00000000" w:rsidRPr="001B1306" w:rsidP="001B1306">
      <w:pPr>
        <w:pStyle w:val="ListBullet"/>
      </w:pPr>
      <w:r w:rsidRPr="001B1306">
        <w:t>rural</w:t>
      </w:r>
    </w:p>
    <w:p w:rsidR="00000000" w:rsidRPr="001B1306" w:rsidP="001B1306">
      <w:pPr>
        <w:pStyle w:val="ListBullet"/>
      </w:pPr>
      <w:r w:rsidRPr="001B1306">
        <w:t>residential</w:t>
      </w:r>
    </w:p>
    <w:p w:rsidR="00000000" w:rsidRPr="001B1306" w:rsidP="001B1306">
      <w:pPr>
        <w:pStyle w:val="ListBullet"/>
      </w:pPr>
      <w:r w:rsidRPr="001B1306">
        <w:t>commercial</w:t>
      </w:r>
    </w:p>
    <w:p w:rsidR="00000000" w:rsidRPr="001B1306" w:rsidP="001B1306">
      <w:pPr>
        <w:pStyle w:val="ListBullet"/>
      </w:pPr>
      <w:r w:rsidRPr="001B1306">
        <w:t>industrial</w:t>
      </w:r>
    </w:p>
    <w:p w:rsidR="00000000" w:rsidRPr="001B1306" w:rsidP="001B1306">
      <w:pPr>
        <w:pStyle w:val="ListBullet"/>
      </w:pPr>
      <w:r w:rsidRPr="001B1306">
        <w:t>retail.</w:t>
      </w:r>
    </w:p>
    <w:p w:rsidR="00000000" w:rsidRPr="001B1306" w:rsidP="004B61D6">
      <w:pPr>
        <w:pStyle w:val="BodyText"/>
      </w:pPr>
      <w:r w:rsidRPr="001B1306">
        <w:t>At least one appraisal purpose must be chosen from the list below:</w:t>
      </w:r>
    </w:p>
    <w:p w:rsidR="00000000" w:rsidRPr="001B1306" w:rsidP="001B1306">
      <w:pPr>
        <w:pStyle w:val="ListBullet"/>
      </w:pPr>
      <w:r w:rsidRPr="001B1306">
        <w:t>sale</w:t>
      </w:r>
    </w:p>
    <w:p w:rsidR="00000000" w:rsidRPr="001B1306" w:rsidP="001B1306">
      <w:pPr>
        <w:pStyle w:val="ListBullet"/>
      </w:pPr>
      <w:r w:rsidRPr="001B1306">
        <w:t>lease</w:t>
      </w:r>
    </w:p>
    <w:p w:rsidR="00000000" w:rsidRPr="001B1306" w:rsidP="001B1306">
      <w:pPr>
        <w:pStyle w:val="ListBullet"/>
      </w:pPr>
      <w:r w:rsidRPr="001B1306">
        <w:t>development site</w:t>
      </w:r>
    </w:p>
    <w:p w:rsidR="00000000" w:rsidRPr="001B1306" w:rsidP="001B1306">
      <w:pPr>
        <w:pStyle w:val="ListBullet"/>
      </w:pPr>
      <w:r w:rsidRPr="001B1306">
        <w:t>transfer of title</w:t>
      </w:r>
    </w:p>
    <w:p w:rsidR="00000000" w:rsidRPr="001B1306" w:rsidP="001B1306">
      <w:pPr>
        <w:pStyle w:val="ListBullet"/>
      </w:pPr>
      <w:r w:rsidRPr="001B1306">
        <w:t>agistment</w:t>
      </w:r>
    </w:p>
    <w:p w:rsidR="00000000" w:rsidRPr="001B1306" w:rsidP="001B1306">
      <w:pPr>
        <w:pStyle w:val="ListBullet"/>
      </w:pPr>
      <w:r w:rsidRPr="001B1306">
        <w:t>investment.</w:t>
      </w:r>
    </w:p>
    <w:p w:rsidR="00000000" w:rsidRPr="001B1306" w:rsidP="004B61D6">
      <w:pPr>
        <w:pStyle w:val="BodyText"/>
      </w:pPr>
      <w:r w:rsidRPr="001B1306">
        <w:t>In doing this, the person must meet the performance criteria for this unit.</w:t>
      </w:r>
    </w:p>
    <w:p w:rsidR="00000000" w:rsidRPr="001B1306" w:rsidP="001B1306">
      <w:pPr>
        <w:pStyle w:val="Heading1"/>
      </w:pPr>
      <w:bookmarkStart w:id="3" w:name="O_1020604"/>
      <w:bookmarkEnd w:id="3"/>
      <w:r w:rsidRPr="001B1306">
        <w:t>Knowledge Evidence</w:t>
      </w:r>
    </w:p>
    <w:p w:rsidR="00000000" w:rsidRPr="001B1306" w:rsidP="004B61D6">
      <w:pPr>
        <w:pStyle w:val="BodyText"/>
      </w:pPr>
      <w:r w:rsidRPr="001B1306">
        <w:t>To be competent in this unit, a person must demonstrate knowledge of:</w:t>
      </w:r>
    </w:p>
    <w:p w:rsidR="00000000" w:rsidRPr="001B1306" w:rsidP="001B1306">
      <w:pPr>
        <w:pStyle w:val="ListBullet"/>
      </w:pPr>
      <w:r w:rsidRPr="001B1306">
        <w:t>role of the agent and real esta</w:t>
      </w:r>
      <w:r w:rsidRPr="001B1306">
        <w:t>te personnel in providing property appraisal, price range and rental value recommendation</w:t>
      </w:r>
    </w:p>
    <w:p w:rsidR="00000000" w:rsidRPr="001B1306" w:rsidP="001B1306">
      <w:pPr>
        <w:pStyle w:val="ListBullet"/>
      </w:pPr>
      <w:r w:rsidRPr="001B1306">
        <w:t>professional and ethical practices associated with property appraisals</w:t>
      </w:r>
    </w:p>
    <w:p w:rsidR="00000000" w:rsidRPr="001B1306" w:rsidP="001B1306">
      <w:pPr>
        <w:pStyle w:val="ListBullet"/>
      </w:pPr>
      <w:r w:rsidRPr="001B1306">
        <w:t>property appraisal:</w:t>
      </w:r>
    </w:p>
    <w:p w:rsidR="00000000" w:rsidRPr="001B1306" w:rsidP="001B1306">
      <w:pPr>
        <w:pStyle w:val="ListBullet2"/>
      </w:pPr>
      <w:r w:rsidRPr="001B1306">
        <w:t>purpose of appraisal</w:t>
      </w:r>
    </w:p>
    <w:p w:rsidR="00000000" w:rsidRPr="001B1306" w:rsidP="001B1306">
      <w:pPr>
        <w:pStyle w:val="ListBullet2"/>
      </w:pPr>
      <w:r w:rsidRPr="001B1306">
        <w:t>appraisal methods</w:t>
      </w:r>
    </w:p>
    <w:p w:rsidR="00000000" w:rsidRPr="001B1306" w:rsidP="001B1306">
      <w:pPr>
        <w:pStyle w:val="ListBullet2"/>
      </w:pPr>
      <w:r w:rsidRPr="001B1306">
        <w:t>difference between appraisal and valuation</w:t>
      </w:r>
    </w:p>
    <w:p w:rsidR="00000000" w:rsidRPr="001B1306" w:rsidP="001B1306">
      <w:pPr>
        <w:pStyle w:val="ListBullet2"/>
      </w:pPr>
      <w:r w:rsidRPr="001B1306">
        <w:t>factors influencing comparison of properties</w:t>
      </w:r>
    </w:p>
    <w:p w:rsidR="00000000" w:rsidRPr="001B1306" w:rsidP="001B1306">
      <w:pPr>
        <w:pStyle w:val="ListBullet2"/>
      </w:pPr>
      <w:r w:rsidRPr="001B1306">
        <w:t>market value, including forces that impact on value</w:t>
      </w:r>
    </w:p>
    <w:p w:rsidR="00000000" w:rsidRPr="001B1306" w:rsidP="001B1306">
      <w:pPr>
        <w:pStyle w:val="ListBullet"/>
      </w:pPr>
      <w:r w:rsidRPr="001B1306">
        <w:t>risks and risk management strategies associated with property appraisal</w:t>
      </w:r>
    </w:p>
    <w:p w:rsidR="00000000" w:rsidRPr="001B1306" w:rsidP="001B1306">
      <w:pPr>
        <w:pStyle w:val="ListBullet"/>
      </w:pPr>
      <w:r w:rsidRPr="001B1306">
        <w:t>agency forms and documentation associated w</w:t>
      </w:r>
      <w:r w:rsidRPr="001B1306">
        <w:t>ith property appraisal and reasons for maintaining documentation</w:t>
      </w:r>
    </w:p>
    <w:p w:rsidR="00000000" w:rsidRPr="001B1306" w:rsidP="001B1306">
      <w:pPr>
        <w:pStyle w:val="ListBullet"/>
      </w:pPr>
      <w:r w:rsidRPr="001B1306">
        <w:t>process to determine price range or rental value:</w:t>
      </w:r>
    </w:p>
    <w:p w:rsidR="00000000" w:rsidRPr="001B1306" w:rsidP="001B1306">
      <w:pPr>
        <w:pStyle w:val="ListBullet2"/>
      </w:pPr>
      <w:r w:rsidRPr="001B1306">
        <w:t>local market factors</w:t>
      </w:r>
    </w:p>
    <w:p w:rsidR="00000000" w:rsidRPr="001B1306" w:rsidP="001B1306">
      <w:pPr>
        <w:pStyle w:val="ListBullet2"/>
      </w:pPr>
      <w:r w:rsidRPr="001B1306">
        <w:t>return on property investment</w:t>
      </w:r>
    </w:p>
    <w:p w:rsidR="00000000" w:rsidRPr="001B1306" w:rsidP="001B1306">
      <w:pPr>
        <w:pStyle w:val="ListBullet2"/>
      </w:pPr>
      <w:r w:rsidRPr="001B1306">
        <w:t>economic, political and social factors</w:t>
      </w:r>
    </w:p>
    <w:p w:rsidR="00000000" w:rsidRPr="001B1306" w:rsidP="001B1306">
      <w:pPr>
        <w:pStyle w:val="ListBullet2"/>
      </w:pPr>
      <w:r w:rsidRPr="001B1306">
        <w:t>leasing or sales market conditions</w:t>
      </w:r>
    </w:p>
    <w:p w:rsidR="00000000" w:rsidRPr="001B1306" w:rsidP="001B1306">
      <w:pPr>
        <w:pStyle w:val="ListBullet2"/>
      </w:pPr>
      <w:r w:rsidRPr="001B1306">
        <w:t>supply and dema</w:t>
      </w:r>
      <w:r w:rsidRPr="001B1306">
        <w:t>nd</w:t>
      </w:r>
    </w:p>
    <w:p w:rsidR="00000000" w:rsidRPr="001B1306" w:rsidP="001B1306">
      <w:pPr>
        <w:pStyle w:val="ListBullet2"/>
      </w:pPr>
      <w:r w:rsidRPr="001B1306">
        <w:t>future development</w:t>
      </w:r>
    </w:p>
    <w:p w:rsidR="00000000" w:rsidRPr="001B1306" w:rsidP="001B1306">
      <w:pPr>
        <w:pStyle w:val="ListBullet"/>
      </w:pPr>
      <w:r w:rsidRPr="001B1306">
        <w:t>property attributes:</w:t>
      </w:r>
    </w:p>
    <w:p w:rsidR="00000000" w:rsidRPr="001B1306" w:rsidP="001B1306">
      <w:pPr>
        <w:pStyle w:val="ListBullet2"/>
      </w:pPr>
      <w:r w:rsidRPr="001B1306">
        <w:t>building construction</w:t>
      </w:r>
    </w:p>
    <w:p w:rsidR="00000000" w:rsidRPr="001B1306" w:rsidP="001B1306">
      <w:pPr>
        <w:pStyle w:val="ListBullet2"/>
      </w:pPr>
      <w:r w:rsidRPr="001B1306">
        <w:t>aesthetic and design features</w:t>
      </w:r>
    </w:p>
    <w:p w:rsidR="00000000" w:rsidRPr="001B1306" w:rsidP="001B1306">
      <w:pPr>
        <w:pStyle w:val="ListBullet2"/>
      </w:pPr>
      <w:r w:rsidRPr="001B1306">
        <w:t>faults and hazards</w:t>
      </w:r>
    </w:p>
    <w:p w:rsidR="00000000" w:rsidRPr="001B1306" w:rsidP="001B1306">
      <w:pPr>
        <w:pStyle w:val="ListBullet2"/>
      </w:pPr>
      <w:r w:rsidRPr="001B1306">
        <w:t>building improvements and modifications</w:t>
      </w:r>
    </w:p>
    <w:p w:rsidR="00000000" w:rsidRPr="001B1306" w:rsidP="001B1306">
      <w:pPr>
        <w:pStyle w:val="ListBullet2"/>
      </w:pPr>
      <w:r w:rsidRPr="001B1306">
        <w:t>property condition and presentation</w:t>
      </w:r>
    </w:p>
    <w:p w:rsidR="00000000" w:rsidRPr="001B1306" w:rsidP="001B1306">
      <w:pPr>
        <w:pStyle w:val="ListBullet2"/>
      </w:pPr>
      <w:r w:rsidRPr="001B1306">
        <w:t>heating, cooling and ventilation systems</w:t>
      </w:r>
    </w:p>
    <w:p w:rsidR="00000000" w:rsidRPr="001B1306" w:rsidP="001B1306">
      <w:pPr>
        <w:pStyle w:val="ListBullet2"/>
      </w:pPr>
      <w:r w:rsidRPr="001B1306">
        <w:t>energy efficiency and building sustainability ratings</w:t>
      </w:r>
    </w:p>
    <w:p w:rsidR="00000000" w:rsidRPr="001B1306" w:rsidP="001B1306">
      <w:pPr>
        <w:pStyle w:val="ListBullet2"/>
      </w:pPr>
      <w:r w:rsidRPr="001B1306">
        <w:t>compliance with regulatory requirements</w:t>
      </w:r>
    </w:p>
    <w:p w:rsidR="00000000" w:rsidRPr="001B1306" w:rsidP="001B1306">
      <w:pPr>
        <w:pStyle w:val="ListBullet"/>
      </w:pPr>
      <w:r w:rsidRPr="001B1306">
        <w:t>sources of information:</w:t>
      </w:r>
    </w:p>
    <w:p w:rsidR="00000000" w:rsidRPr="001B1306" w:rsidP="001B1306">
      <w:pPr>
        <w:pStyle w:val="ListBullet2"/>
      </w:pPr>
      <w:r w:rsidRPr="001B1306">
        <w:t>specialist advice</w:t>
      </w:r>
    </w:p>
    <w:p w:rsidR="00000000" w:rsidRPr="001B1306" w:rsidP="001B1306">
      <w:pPr>
        <w:pStyle w:val="ListBullet2"/>
      </w:pPr>
      <w:r w:rsidRPr="001B1306">
        <w:t>market conditions</w:t>
      </w:r>
    </w:p>
    <w:p w:rsidR="00000000" w:rsidRPr="001B1306" w:rsidP="001B1306">
      <w:pPr>
        <w:pStyle w:val="ListBullet2"/>
      </w:pPr>
      <w:r w:rsidRPr="001B1306">
        <w:t>land and environmental protection plans</w:t>
      </w:r>
    </w:p>
    <w:p w:rsidR="00000000" w:rsidRPr="001B1306" w:rsidP="001B1306">
      <w:pPr>
        <w:pStyle w:val="ListBullet2"/>
      </w:pPr>
      <w:r w:rsidRPr="001B1306">
        <w:t>local and state regulations</w:t>
      </w:r>
    </w:p>
    <w:p w:rsidR="00000000" w:rsidRPr="001B1306" w:rsidP="001B1306">
      <w:pPr>
        <w:pStyle w:val="ListBullet2"/>
      </w:pPr>
      <w:r w:rsidRPr="001B1306">
        <w:t>property portals</w:t>
      </w:r>
    </w:p>
    <w:p w:rsidR="00000000" w:rsidRPr="001B1306" w:rsidP="001B1306">
      <w:pPr>
        <w:pStyle w:val="ListBullet"/>
      </w:pPr>
      <w:r w:rsidRPr="001B1306">
        <w:t xml:space="preserve">communication </w:t>
      </w:r>
      <w:r w:rsidRPr="001B1306">
        <w:t>strategies for responding to client complaints.</w:t>
      </w:r>
    </w:p>
    <w:p w:rsidR="00000000" w:rsidRPr="001B1306" w:rsidP="001B1306">
      <w:pPr>
        <w:pStyle w:val="AllowPageBreak"/>
      </w:pPr>
    </w:p>
    <w:p w:rsidR="00000000" w:rsidRPr="001B1306" w:rsidP="001B1306">
      <w:pPr>
        <w:pStyle w:val="Heading1"/>
      </w:pPr>
      <w:bookmarkStart w:id="4" w:name="O_1020603"/>
      <w:bookmarkEnd w:id="4"/>
      <w:r w:rsidRPr="001B1306">
        <w:t>Assessment Conditions</w:t>
      </w:r>
    </w:p>
    <w:p w:rsidR="00000000" w:rsidRPr="001B1306" w:rsidP="004B61D6">
      <w:pPr>
        <w:pStyle w:val="BodyText"/>
      </w:pPr>
      <w:r w:rsidRPr="001B1306">
        <w:t xml:space="preserve">Assessors must satisfy the requirements for assessors listed in the Standards for Registered Training Organisations. </w:t>
      </w:r>
    </w:p>
    <w:p w:rsidR="00000000" w:rsidRPr="001B1306" w:rsidP="004B61D6">
      <w:pPr>
        <w:pStyle w:val="BodyText"/>
      </w:pPr>
      <w:r w:rsidRPr="001B1306">
        <w:t xml:space="preserve">Assessment must be conducted in the workplace or in a simulated workplace environment. </w:t>
      </w:r>
    </w:p>
    <w:p w:rsidR="00000000" w:rsidRPr="001B1306" w:rsidP="004B61D6">
      <w:pPr>
        <w:pStyle w:val="BodyText"/>
      </w:pPr>
      <w:r w:rsidRPr="001B1306">
        <w:t>Assessors are responsible for ensuring that the person demonstrating competency has access to:</w:t>
      </w:r>
    </w:p>
    <w:p w:rsidR="00000000" w:rsidRPr="001B1306" w:rsidP="001B1306">
      <w:pPr>
        <w:pStyle w:val="ListBullet"/>
      </w:pPr>
      <w:r w:rsidRPr="001B1306">
        <w:t>property records and portals</w:t>
      </w:r>
    </w:p>
    <w:p w:rsidR="00000000" w:rsidRPr="001B1306" w:rsidP="001B1306">
      <w:pPr>
        <w:pStyle w:val="ListBullet"/>
      </w:pPr>
      <w:r w:rsidRPr="001B1306">
        <w:t>market indicator information</w:t>
      </w:r>
    </w:p>
    <w:p w:rsidR="00000000" w:rsidRPr="001B1306" w:rsidP="001B1306">
      <w:pPr>
        <w:pStyle w:val="ListBullet"/>
      </w:pPr>
      <w:r w:rsidRPr="001B1306">
        <w:t>procedures and</w:t>
      </w:r>
      <w:r w:rsidRPr="001B1306">
        <w:t xml:space="preserve"> documents for property appraisals </w:t>
      </w:r>
    </w:p>
    <w:p w:rsidR="00000000" w:rsidRPr="001B1306" w:rsidP="001B1306">
      <w:pPr>
        <w:pStyle w:val="ListBullet"/>
      </w:pPr>
      <w:r w:rsidRPr="001B1306">
        <w:t>details of two properties for appraisal.</w:t>
      </w:r>
    </w:p>
    <w:p w:rsidR="00000000" w:rsidRPr="001B1306" w:rsidP="001B1306">
      <w:pPr>
        <w:pStyle w:val="AllowPageBreak"/>
      </w:pPr>
    </w:p>
    <w:p w:rsidR="00000000" w:rsidRPr="001B1306" w:rsidP="001B1306">
      <w:pPr>
        <w:pStyle w:val="Heading1"/>
      </w:pPr>
      <w:bookmarkStart w:id="5" w:name="O_1020601"/>
      <w:bookmarkEnd w:id="5"/>
      <w:r w:rsidRPr="001B1306">
        <w:t>Links</w:t>
      </w:r>
    </w:p>
    <w:p w:rsidR="00000000" w:rsidRPr="001B1306" w:rsidP="004B61D6">
      <w:pPr>
        <w:pStyle w:val="BodyText"/>
      </w:pPr>
      <w:r w:rsidRPr="001B13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A5E74">
        <w:rPr>
          <w:rStyle w:val="Hyperlink"/>
        </w:rPr>
        <w:t>https://vetnet.gov.au/Pages/TrainingDocs.aspx?q=6f3f9672-30e8-4835-b348-205dfcf13d9b</w:t>
      </w:r>
      <w:r>
        <w:fldChar w:fldCharType="end"/>
      </w:r>
    </w:p>
    <w:p w:rsidR="00000000" w:rsidRPr="001B1306" w:rsidP="001B1306"/>
    <w:sectPr w:rsidSect="001B1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06" w:rsidRPr="004B61D6" w:rsidP="004B6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6" w:rsidP="001B1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1D6" w:rsidP="001B13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B61D6" w:rsidP="001B1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306" w:rsidRPr="004B61D6" w:rsidP="004B6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6" w:rsidRPr="002D2AF8" w:rsidP="001B1306">
    <w:pPr>
      <w:pStyle w:val="Header"/>
      <w:framePr w:wrap="around"/>
    </w:pPr>
    <w:r>
      <w:fldChar w:fldCharType="begin"/>
    </w:r>
    <w:r>
      <w:instrText xml:space="preserve"> TITLE   \* MERGEFORMAT </w:instrText>
    </w:r>
    <w:r>
      <w:fldChar w:fldCharType="separate"/>
    </w:r>
    <w:r>
      <w:t>Assessment Requirements for CPPREP4101 Appraise property for sale or 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B61D6" w:rsidP="001B1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C9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04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E1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306"/>
    <w:pPr>
      <w:spacing w:before="360" w:after="60"/>
      <w:outlineLvl w:val="0"/>
    </w:pPr>
    <w:rPr>
      <w:sz w:val="32"/>
    </w:rPr>
  </w:style>
  <w:style w:type="paragraph" w:styleId="Heading2">
    <w:name w:val="heading 2"/>
    <w:basedOn w:val="HeadingBase"/>
    <w:next w:val="BodyText"/>
    <w:link w:val="Heading2Char"/>
    <w:qFormat/>
    <w:rsid w:val="001B1306"/>
    <w:pPr>
      <w:keepLines/>
      <w:spacing w:before="240" w:after="120"/>
      <w:outlineLvl w:val="1"/>
    </w:pPr>
    <w:rPr>
      <w:sz w:val="28"/>
      <w:szCs w:val="40"/>
    </w:rPr>
  </w:style>
  <w:style w:type="paragraph" w:styleId="Heading3">
    <w:name w:val="heading 3"/>
    <w:basedOn w:val="HeadingBase"/>
    <w:next w:val="BodyText"/>
    <w:link w:val="Heading3Char"/>
    <w:qFormat/>
    <w:rsid w:val="001B1306"/>
    <w:pPr>
      <w:spacing w:before="180" w:after="120"/>
      <w:outlineLvl w:val="2"/>
    </w:pPr>
    <w:rPr>
      <w:spacing w:val="-10"/>
      <w:kern w:val="32"/>
    </w:rPr>
  </w:style>
  <w:style w:type="paragraph" w:styleId="Heading4">
    <w:name w:val="heading 4"/>
    <w:basedOn w:val="HeadingBase"/>
    <w:next w:val="BodyText"/>
    <w:link w:val="Heading4Char"/>
    <w:qFormat/>
    <w:rsid w:val="001B1306"/>
    <w:pPr>
      <w:spacing w:before="160" w:after="120"/>
      <w:outlineLvl w:val="3"/>
    </w:pPr>
    <w:rPr>
      <w:sz w:val="22"/>
    </w:rPr>
  </w:style>
  <w:style w:type="paragraph" w:styleId="Heading5">
    <w:name w:val="heading 5"/>
    <w:basedOn w:val="HeadingBase"/>
    <w:next w:val="Normal"/>
    <w:link w:val="Heading5Char"/>
    <w:qFormat/>
    <w:rsid w:val="001B1306"/>
    <w:pPr>
      <w:spacing w:before="80"/>
      <w:outlineLvl w:val="4"/>
    </w:pPr>
    <w:rPr>
      <w:color w:val="918585"/>
      <w:sz w:val="20"/>
    </w:rPr>
  </w:style>
  <w:style w:type="paragraph" w:styleId="Heading6">
    <w:name w:val="heading 6"/>
    <w:basedOn w:val="HeadingBase"/>
    <w:next w:val="Normal"/>
    <w:link w:val="Heading6Char"/>
    <w:qFormat/>
    <w:rsid w:val="001B1306"/>
    <w:pPr>
      <w:spacing w:before="60"/>
      <w:outlineLvl w:val="5"/>
    </w:pPr>
    <w:rPr>
      <w:color w:val="918585"/>
      <w:sz w:val="20"/>
    </w:rPr>
  </w:style>
  <w:style w:type="paragraph" w:styleId="Heading7">
    <w:name w:val="heading 7"/>
    <w:basedOn w:val="Normal"/>
    <w:next w:val="Normal"/>
    <w:link w:val="Heading7Char"/>
    <w:qFormat/>
    <w:rsid w:val="001B1306"/>
    <w:pPr>
      <w:ind w:left="720"/>
      <w:outlineLvl w:val="6"/>
    </w:pPr>
    <w:rPr>
      <w:i/>
    </w:rPr>
  </w:style>
  <w:style w:type="paragraph" w:styleId="Heading8">
    <w:name w:val="heading 8"/>
    <w:basedOn w:val="Normal"/>
    <w:next w:val="Normal"/>
    <w:link w:val="Heading8Char"/>
    <w:qFormat/>
    <w:rsid w:val="001B1306"/>
    <w:pPr>
      <w:ind w:left="720"/>
      <w:outlineLvl w:val="7"/>
    </w:pPr>
    <w:rPr>
      <w:i/>
    </w:rPr>
  </w:style>
  <w:style w:type="paragraph" w:styleId="Heading9">
    <w:name w:val="heading 9"/>
    <w:basedOn w:val="Normal"/>
    <w:next w:val="Normal"/>
    <w:link w:val="Heading9Char"/>
    <w:qFormat/>
    <w:rsid w:val="001B1306"/>
    <w:pPr>
      <w:ind w:left="720"/>
      <w:outlineLvl w:val="8"/>
    </w:pPr>
    <w:rPr>
      <w:i/>
    </w:rPr>
  </w:style>
  <w:style w:type="character" w:default="1" w:styleId="DefaultParagraphFont">
    <w:name w:val="Default Paragraph Font"/>
    <w:uiPriority w:val="1"/>
    <w:unhideWhenUsed/>
    <w:rsid w:val="001B1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306"/>
  </w:style>
  <w:style w:type="character" w:customStyle="1" w:styleId="Heading1Char">
    <w:name w:val="Heading 1 Char"/>
    <w:basedOn w:val="DefaultParagraphFont"/>
    <w:link w:val="Heading1"/>
    <w:rsid w:val="001B1306"/>
    <w:rPr>
      <w:rFonts w:ascii="Times New Roman" w:eastAsia="Times New Roman" w:hAnsi="Times New Roman" w:cs="Times New Roman"/>
      <w:b/>
      <w:sz w:val="32"/>
      <w:szCs w:val="20"/>
      <w:lang w:eastAsia="en-US"/>
    </w:rPr>
  </w:style>
  <w:style w:type="paragraph" w:styleId="BodyText">
    <w:name w:val="Body Text"/>
    <w:basedOn w:val="Normal"/>
    <w:link w:val="BodyTextChar"/>
    <w:rsid w:val="001B1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306"/>
    <w:rPr>
      <w:rFonts w:ascii="Times New Roman" w:eastAsia="Times New Roman" w:hAnsi="Times New Roman" w:cs="Times New Roman"/>
      <w:sz w:val="24"/>
      <w:lang w:eastAsia="en-US"/>
    </w:rPr>
  </w:style>
  <w:style w:type="paragraph" w:styleId="ListBullet">
    <w:name w:val="List Bullet"/>
    <w:basedOn w:val="List"/>
    <w:rsid w:val="001B1306"/>
    <w:pPr>
      <w:numPr>
        <w:numId w:val="12"/>
      </w:numPr>
      <w:tabs>
        <w:tab w:val="clear" w:pos="340"/>
      </w:tabs>
      <w:spacing w:before="40" w:after="40"/>
    </w:pPr>
  </w:style>
  <w:style w:type="paragraph" w:styleId="ListBullet2">
    <w:name w:val="List Bullet 2"/>
    <w:basedOn w:val="List2"/>
    <w:rsid w:val="001B1306"/>
    <w:pPr>
      <w:numPr>
        <w:numId w:val="13"/>
      </w:numPr>
      <w:tabs>
        <w:tab w:val="clear" w:pos="680"/>
      </w:tabs>
    </w:pPr>
  </w:style>
  <w:style w:type="paragraph" w:customStyle="1" w:styleId="SuperHeading">
    <w:name w:val="SuperHeading"/>
    <w:basedOn w:val="Normal"/>
    <w:rsid w:val="001B1306"/>
    <w:pPr>
      <w:spacing w:before="240" w:after="120"/>
      <w:outlineLvl w:val="0"/>
    </w:pPr>
    <w:rPr>
      <w:rFonts w:ascii="Times New Roman" w:hAnsi="Times New Roman"/>
      <w:b/>
      <w:sz w:val="32"/>
    </w:rPr>
  </w:style>
  <w:style w:type="paragraph" w:customStyle="1" w:styleId="AllowPageBreak">
    <w:name w:val="AllowPageBreak"/>
    <w:rsid w:val="001B1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306"/>
    <w:rPr>
      <w:rFonts w:ascii="Courier New" w:eastAsia="Times New Roman" w:hAnsi="Courier New" w:cs="Times New Roman"/>
      <w:i/>
      <w:szCs w:val="20"/>
      <w:lang w:eastAsia="en-US"/>
    </w:rPr>
  </w:style>
  <w:style w:type="paragraph" w:customStyle="1" w:styleId="HeadingBase">
    <w:name w:val="Heading Base"/>
    <w:rsid w:val="001B1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306"/>
    <w:pPr>
      <w:tabs>
        <w:tab w:val="right" w:leader="dot" w:pos="9072"/>
      </w:tabs>
      <w:ind w:left="567"/>
    </w:pPr>
    <w:rPr>
      <w:szCs w:val="22"/>
    </w:rPr>
  </w:style>
  <w:style w:type="paragraph" w:customStyle="1" w:styleId="TOCBase">
    <w:name w:val="TOC Base"/>
    <w:rsid w:val="001B1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306"/>
    <w:pPr>
      <w:tabs>
        <w:tab w:val="right" w:leader="dot" w:pos="9072"/>
      </w:tabs>
      <w:spacing w:before="40" w:after="40"/>
      <w:ind w:left="284"/>
    </w:pPr>
    <w:rPr>
      <w:rFonts w:ascii="Times New Roman" w:hAnsi="Times New Roman"/>
    </w:rPr>
  </w:style>
  <w:style w:type="paragraph" w:styleId="TOC1">
    <w:name w:val="toc 1"/>
    <w:basedOn w:val="TOCBase"/>
    <w:next w:val="Normal"/>
    <w:rsid w:val="001B1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306"/>
    <w:rPr>
      <w:rFonts w:ascii="Times New Roman" w:eastAsia="Times New Roman" w:hAnsi="Times New Roman" w:cs="Times New Roman"/>
      <w:sz w:val="16"/>
      <w:lang w:eastAsia="en-US"/>
    </w:rPr>
  </w:style>
  <w:style w:type="paragraph" w:styleId="Title">
    <w:name w:val="Title"/>
    <w:basedOn w:val="HeadingBase"/>
    <w:link w:val="TitleChar"/>
    <w:qFormat/>
    <w:rsid w:val="001B1306"/>
    <w:pPr>
      <w:spacing w:before="5040"/>
      <w:jc w:val="center"/>
    </w:pPr>
    <w:rPr>
      <w:sz w:val="48"/>
      <w:szCs w:val="72"/>
      <w:lang w:val="en-US"/>
    </w:rPr>
  </w:style>
  <w:style w:type="character" w:customStyle="1" w:styleId="TitleChar">
    <w:name w:val="Title Char"/>
    <w:basedOn w:val="DefaultParagraphFont"/>
    <w:link w:val="Title"/>
    <w:rsid w:val="001B1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306"/>
    <w:pPr>
      <w:tabs>
        <w:tab w:val="left" w:pos="3600"/>
        <w:tab w:val="left" w:pos="3958"/>
      </w:tabs>
    </w:pPr>
  </w:style>
  <w:style w:type="paragraph" w:styleId="List">
    <w:name w:val="List"/>
    <w:basedOn w:val="BodyText"/>
    <w:next w:val="BodyText"/>
    <w:rsid w:val="001B1306"/>
    <w:pPr>
      <w:tabs>
        <w:tab w:val="left" w:pos="340"/>
      </w:tabs>
      <w:spacing w:before="60" w:after="60"/>
      <w:ind w:left="340" w:hanging="340"/>
    </w:pPr>
  </w:style>
  <w:style w:type="paragraph" w:customStyle="1" w:styleId="Note">
    <w:name w:val="Note"/>
    <w:basedOn w:val="BodyText"/>
    <w:rsid w:val="001B13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306"/>
    <w:rPr>
      <w:b/>
      <w:spacing w:val="0"/>
    </w:rPr>
  </w:style>
  <w:style w:type="paragraph" w:customStyle="1" w:styleId="SuperTitle">
    <w:name w:val="SuperTitle"/>
    <w:basedOn w:val="Title"/>
    <w:rsid w:val="001B1306"/>
    <w:pPr>
      <w:framePr w:wrap="auto" w:hAnchor="text" w:y="6049"/>
    </w:pPr>
    <w:rPr>
      <w:color w:val="000000"/>
      <w:sz w:val="40"/>
    </w:rPr>
  </w:style>
  <w:style w:type="paragraph" w:customStyle="1" w:styleId="TOCTitle">
    <w:name w:val="TOCTitle"/>
    <w:basedOn w:val="Heading1"/>
    <w:rsid w:val="001B1306"/>
    <w:pPr>
      <w:spacing w:after="240"/>
      <w:jc w:val="center"/>
      <w:outlineLvl w:val="9"/>
    </w:pPr>
    <w:rPr>
      <w:caps/>
    </w:rPr>
  </w:style>
  <w:style w:type="paragraph" w:customStyle="1" w:styleId="Version">
    <w:name w:val="Version"/>
    <w:rsid w:val="001B1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306"/>
    <w:pPr>
      <w:keepNext w:val="0"/>
      <w:tabs>
        <w:tab w:val="right" w:pos="4176"/>
      </w:tabs>
      <w:ind w:left="198" w:hanging="198"/>
    </w:pPr>
    <w:rPr>
      <w:rFonts w:ascii="Garamond" w:hAnsi="Garamond"/>
    </w:rPr>
  </w:style>
  <w:style w:type="paragraph" w:styleId="IndexHeading">
    <w:name w:val="index heading"/>
    <w:basedOn w:val="Normal"/>
    <w:next w:val="Index1"/>
    <w:semiHidden/>
    <w:rsid w:val="001B1306"/>
    <w:pPr>
      <w:spacing w:before="120" w:after="120"/>
    </w:pPr>
    <w:rPr>
      <w:rFonts w:ascii="Arial" w:hAnsi="Arial"/>
      <w:b/>
      <w:color w:val="918585"/>
      <w:sz w:val="24"/>
    </w:rPr>
  </w:style>
  <w:style w:type="paragraph" w:styleId="Header">
    <w:name w:val="header"/>
    <w:basedOn w:val="Normal"/>
    <w:link w:val="HeaderChar"/>
    <w:rsid w:val="001B1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306"/>
    <w:rPr>
      <w:rFonts w:ascii="Times New Roman" w:eastAsia="Times New Roman" w:hAnsi="Times New Roman" w:cs="Times New Roman"/>
      <w:sz w:val="16"/>
      <w:szCs w:val="20"/>
      <w:lang w:val="en-GB" w:eastAsia="en-US"/>
    </w:rPr>
  </w:style>
  <w:style w:type="paragraph" w:customStyle="1" w:styleId="Chapter">
    <w:name w:val="Chapter"/>
    <w:basedOn w:val="Normal"/>
    <w:rsid w:val="001B1306"/>
    <w:pPr>
      <w:spacing w:before="240"/>
    </w:pPr>
    <w:rPr>
      <w:rFonts w:ascii="Times New Roman" w:hAnsi="Times New Roman"/>
      <w:smallCaps/>
      <w:spacing w:val="80"/>
      <w:sz w:val="28"/>
    </w:rPr>
  </w:style>
  <w:style w:type="paragraph" w:customStyle="1" w:styleId="InChapter">
    <w:name w:val="InChapter"/>
    <w:basedOn w:val="Heading3"/>
    <w:rsid w:val="001B1306"/>
    <w:pPr>
      <w:spacing w:after="240"/>
      <w:outlineLvl w:val="9"/>
    </w:pPr>
    <w:rPr>
      <w:noProof/>
    </w:rPr>
  </w:style>
  <w:style w:type="paragraph" w:styleId="Index2">
    <w:name w:val="index 2"/>
    <w:basedOn w:val="Normal"/>
    <w:next w:val="Normal"/>
    <w:semiHidden/>
    <w:rsid w:val="001B1306"/>
    <w:pPr>
      <w:tabs>
        <w:tab w:val="right" w:pos="4176"/>
      </w:tabs>
      <w:ind w:left="568" w:hanging="284"/>
    </w:pPr>
    <w:rPr>
      <w:rFonts w:ascii="Garamond" w:hAnsi="Garamond"/>
    </w:rPr>
  </w:style>
  <w:style w:type="paragraph" w:customStyle="1" w:styleId="Byline">
    <w:name w:val="Byline"/>
    <w:rsid w:val="001B1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306"/>
    <w:pPr>
      <w:tabs>
        <w:tab w:val="clear" w:pos="3600"/>
        <w:tab w:val="clear" w:pos="3958"/>
      </w:tabs>
      <w:jc w:val="right"/>
    </w:pPr>
  </w:style>
  <w:style w:type="character" w:styleId="Emphasis">
    <w:name w:val="Emphasis"/>
    <w:basedOn w:val="DefaultParagraphFont"/>
    <w:qFormat/>
    <w:rsid w:val="001B1306"/>
    <w:rPr>
      <w:i/>
    </w:rPr>
  </w:style>
  <w:style w:type="paragraph" w:styleId="Caption">
    <w:name w:val="caption"/>
    <w:basedOn w:val="BodyText"/>
    <w:next w:val="Normal"/>
    <w:qFormat/>
    <w:rsid w:val="001B1306"/>
    <w:pPr>
      <w:framePr w:w="2268" w:hSpace="181" w:vSpace="181" w:wrap="around" w:vAnchor="text" w:hAnchor="page" w:x="1135" w:y="285" w:anchorLock="1"/>
    </w:pPr>
    <w:rPr>
      <w:i/>
    </w:rPr>
  </w:style>
  <w:style w:type="paragraph" w:customStyle="1" w:styleId="MiniTOCTitle">
    <w:name w:val="MiniTOCTitle"/>
    <w:basedOn w:val="Heading4"/>
    <w:rsid w:val="001B1306"/>
    <w:pPr>
      <w:spacing w:before="240"/>
      <w:outlineLvl w:val="9"/>
    </w:pPr>
    <w:rPr>
      <w:noProof/>
      <w:sz w:val="24"/>
    </w:rPr>
  </w:style>
  <w:style w:type="paragraph" w:customStyle="1" w:styleId="MiniTOCItem">
    <w:name w:val="MiniTOCItem"/>
    <w:basedOn w:val="ListBullet"/>
    <w:rsid w:val="001B1306"/>
    <w:pPr>
      <w:numPr>
        <w:numId w:val="0"/>
      </w:numPr>
      <w:tabs>
        <w:tab w:val="right" w:leader="dot" w:pos="6521"/>
      </w:tabs>
      <w:spacing w:before="0" w:after="0"/>
    </w:pPr>
  </w:style>
  <w:style w:type="paragraph" w:customStyle="1" w:styleId="TOFTitle">
    <w:name w:val="TOFTitle"/>
    <w:basedOn w:val="TOCTitle"/>
    <w:rsid w:val="001B1306"/>
  </w:style>
  <w:style w:type="paragraph" w:styleId="TableofFigures">
    <w:name w:val="table of figures"/>
    <w:basedOn w:val="Normal"/>
    <w:next w:val="Normal"/>
    <w:semiHidden/>
    <w:rsid w:val="001B1306"/>
    <w:pPr>
      <w:tabs>
        <w:tab w:val="right" w:leader="dot" w:pos="9072"/>
      </w:tabs>
      <w:ind w:left="970" w:hanging="403"/>
    </w:pPr>
    <w:rPr>
      <w:rFonts w:ascii="Times New Roman" w:hAnsi="Times New Roman"/>
      <w:b/>
    </w:rPr>
  </w:style>
  <w:style w:type="paragraph" w:styleId="ListNumber">
    <w:name w:val="List Number"/>
    <w:basedOn w:val="List"/>
    <w:rsid w:val="001B1306"/>
    <w:pPr>
      <w:numPr>
        <w:numId w:val="15"/>
      </w:numPr>
      <w:tabs>
        <w:tab w:val="clear" w:pos="340"/>
      </w:tabs>
    </w:pPr>
  </w:style>
  <w:style w:type="character" w:customStyle="1" w:styleId="WingdingSymbols">
    <w:name w:val="Wingding Symbols"/>
    <w:rsid w:val="001B1306"/>
    <w:rPr>
      <w:rFonts w:ascii="Wingdings" w:hAnsi="Wingdings"/>
    </w:rPr>
  </w:style>
  <w:style w:type="paragraph" w:customStyle="1" w:styleId="TableHeading">
    <w:name w:val="Table Heading"/>
    <w:basedOn w:val="HeadingBase"/>
    <w:rsid w:val="001B1306"/>
    <w:pPr>
      <w:keepLines/>
      <w:pBdr>
        <w:bottom w:val="single" w:sz="6" w:space="1" w:color="918585"/>
      </w:pBdr>
      <w:spacing w:before="240"/>
    </w:pPr>
  </w:style>
  <w:style w:type="character" w:customStyle="1" w:styleId="HotSpot">
    <w:name w:val="HotSpot"/>
    <w:rsid w:val="001B1306"/>
    <w:rPr>
      <w:color w:val="0033CC"/>
      <w:u w:val="none"/>
    </w:rPr>
  </w:style>
  <w:style w:type="paragraph" w:customStyle="1" w:styleId="BodyTextRight">
    <w:name w:val="Body Text Right"/>
    <w:basedOn w:val="BodyText"/>
    <w:rsid w:val="001B1306"/>
    <w:pPr>
      <w:spacing w:before="0" w:after="0"/>
      <w:jc w:val="right"/>
    </w:pPr>
  </w:style>
  <w:style w:type="paragraph" w:styleId="Index3">
    <w:name w:val="index 3"/>
    <w:basedOn w:val="ListNumber2"/>
    <w:next w:val="Normal"/>
    <w:semiHidden/>
    <w:rsid w:val="001B1306"/>
    <w:pPr>
      <w:numPr>
        <w:numId w:val="0"/>
      </w:numPr>
      <w:tabs>
        <w:tab w:val="right" w:leader="dot" w:pos="4176"/>
      </w:tabs>
    </w:pPr>
  </w:style>
  <w:style w:type="paragraph" w:styleId="ListNumber2">
    <w:name w:val="List Number 2"/>
    <w:basedOn w:val="List2"/>
    <w:rsid w:val="001B1306"/>
    <w:pPr>
      <w:numPr>
        <w:numId w:val="10"/>
      </w:numPr>
      <w:tabs>
        <w:tab w:val="clear" w:pos="1060"/>
      </w:tabs>
    </w:pPr>
  </w:style>
  <w:style w:type="paragraph" w:customStyle="1" w:styleId="MarginNote">
    <w:name w:val="Margin Note"/>
    <w:basedOn w:val="BodyText"/>
    <w:rsid w:val="001B1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306"/>
    <w:rPr>
      <w:sz w:val="32"/>
    </w:rPr>
  </w:style>
  <w:style w:type="paragraph" w:customStyle="1" w:styleId="HeadingProcedure">
    <w:name w:val="Heading Procedure"/>
    <w:basedOn w:val="HeadingBase"/>
    <w:next w:val="Normal"/>
    <w:rsid w:val="001B1306"/>
    <w:pPr>
      <w:tabs>
        <w:tab w:val="left" w:pos="0"/>
      </w:tabs>
      <w:spacing w:before="120" w:after="60"/>
    </w:pPr>
    <w:rPr>
      <w:i/>
      <w:color w:val="918585"/>
      <w:sz w:val="22"/>
    </w:rPr>
  </w:style>
  <w:style w:type="paragraph" w:customStyle="1" w:styleId="TableBodyText">
    <w:name w:val="Table Body Text"/>
    <w:basedOn w:val="BodyText"/>
    <w:rsid w:val="001B1306"/>
    <w:pPr>
      <w:spacing w:before="60" w:after="60"/>
    </w:pPr>
  </w:style>
  <w:style w:type="paragraph" w:styleId="ListContinue">
    <w:name w:val="List Continue"/>
    <w:basedOn w:val="List"/>
    <w:rsid w:val="001B1306"/>
    <w:pPr>
      <w:ind w:firstLine="0"/>
    </w:pPr>
  </w:style>
  <w:style w:type="paragraph" w:customStyle="1" w:styleId="ListNote">
    <w:name w:val="List Note"/>
    <w:basedOn w:val="List"/>
    <w:rsid w:val="001B1306"/>
    <w:pPr>
      <w:pBdr>
        <w:top w:val="single" w:sz="6" w:space="2" w:color="918585"/>
        <w:bottom w:val="single" w:sz="6" w:space="2" w:color="918585"/>
      </w:pBdr>
      <w:tabs>
        <w:tab w:val="left" w:pos="1021"/>
      </w:tabs>
      <w:ind w:firstLine="0"/>
    </w:pPr>
  </w:style>
  <w:style w:type="paragraph" w:customStyle="1" w:styleId="Warning">
    <w:name w:val="Warning"/>
    <w:basedOn w:val="BodyText"/>
    <w:rsid w:val="001B1306"/>
    <w:pPr>
      <w:shd w:val="clear" w:color="auto" w:fill="D9D9D9"/>
      <w:tabs>
        <w:tab w:val="left" w:pos="992"/>
      </w:tabs>
      <w:ind w:left="119" w:right="119"/>
    </w:pPr>
    <w:rPr>
      <w:sz w:val="20"/>
    </w:rPr>
  </w:style>
  <w:style w:type="paragraph" w:customStyle="1" w:styleId="MarginIcons">
    <w:name w:val="Margin Icons"/>
    <w:basedOn w:val="BodyText"/>
    <w:rsid w:val="001B1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306"/>
    <w:rPr>
      <w:rFonts w:ascii="Courier New" w:hAnsi="Courier New"/>
    </w:rPr>
  </w:style>
  <w:style w:type="paragraph" w:customStyle="1" w:styleId="NoteBullet">
    <w:name w:val="Note Bullet"/>
    <w:basedOn w:val="Note"/>
    <w:rsid w:val="001B1306"/>
    <w:pPr>
      <w:tabs>
        <w:tab w:val="clear" w:pos="680"/>
      </w:tabs>
      <w:spacing w:before="60" w:after="60"/>
    </w:pPr>
  </w:style>
  <w:style w:type="paragraph" w:customStyle="1" w:styleId="SubHeading2">
    <w:name w:val="SubHeading2"/>
    <w:basedOn w:val="HeadingBase"/>
    <w:rsid w:val="001B1306"/>
    <w:pPr>
      <w:spacing w:before="240" w:after="60"/>
    </w:pPr>
    <w:rPr>
      <w:sz w:val="20"/>
    </w:rPr>
  </w:style>
  <w:style w:type="paragraph" w:customStyle="1" w:styleId="SubHeading1">
    <w:name w:val="SubHeading1"/>
    <w:basedOn w:val="HeadingBase"/>
    <w:rsid w:val="001B1306"/>
    <w:pPr>
      <w:spacing w:before="240" w:after="60"/>
    </w:pPr>
    <w:rPr>
      <w:color w:val="918585"/>
      <w:sz w:val="22"/>
    </w:rPr>
  </w:style>
  <w:style w:type="paragraph" w:customStyle="1" w:styleId="SideHeading">
    <w:name w:val="Side Heading"/>
    <w:basedOn w:val="HeadingBase"/>
    <w:rsid w:val="001B1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306"/>
    <w:pPr>
      <w:tabs>
        <w:tab w:val="num" w:pos="360"/>
      </w:tabs>
    </w:pPr>
  </w:style>
  <w:style w:type="paragraph" w:styleId="PlainText">
    <w:name w:val="Plain Text"/>
    <w:basedOn w:val="Normal"/>
    <w:link w:val="PlainTextChar"/>
    <w:rsid w:val="001B1306"/>
    <w:rPr>
      <w:sz w:val="20"/>
    </w:rPr>
  </w:style>
  <w:style w:type="character" w:customStyle="1" w:styleId="PlainTextChar">
    <w:name w:val="Plain Text Char"/>
    <w:basedOn w:val="DefaultParagraphFont"/>
    <w:link w:val="PlainText"/>
    <w:rsid w:val="001B1306"/>
    <w:rPr>
      <w:rFonts w:ascii="Courier New" w:eastAsia="Times New Roman" w:hAnsi="Courier New" w:cs="Times New Roman"/>
      <w:sz w:val="20"/>
      <w:szCs w:val="20"/>
      <w:lang w:eastAsia="en-US"/>
    </w:rPr>
  </w:style>
  <w:style w:type="character" w:customStyle="1" w:styleId="MenuOption">
    <w:name w:val="Menu Option"/>
    <w:basedOn w:val="DefaultParagraphFont"/>
    <w:rsid w:val="001B1306"/>
    <w:rPr>
      <w:b/>
      <w:smallCaps/>
    </w:rPr>
  </w:style>
  <w:style w:type="paragraph" w:customStyle="1" w:styleId="TableListNumber">
    <w:name w:val="Table List Number"/>
    <w:basedOn w:val="ListNumber"/>
    <w:rsid w:val="001B1306"/>
    <w:pPr>
      <w:numPr>
        <w:numId w:val="0"/>
      </w:numPr>
    </w:pPr>
  </w:style>
  <w:style w:type="paragraph" w:styleId="TOC4">
    <w:name w:val="toc 4"/>
    <w:basedOn w:val="TOCBase"/>
    <w:next w:val="Normal"/>
    <w:semiHidden/>
    <w:rsid w:val="001B1306"/>
    <w:pPr>
      <w:tabs>
        <w:tab w:val="right" w:leader="dot" w:pos="9071"/>
      </w:tabs>
      <w:ind w:left="1701"/>
    </w:pPr>
  </w:style>
  <w:style w:type="paragraph" w:customStyle="1" w:styleId="ListAlpha">
    <w:name w:val="List Alpha"/>
    <w:basedOn w:val="List"/>
    <w:rsid w:val="001B1306"/>
    <w:pPr>
      <w:numPr>
        <w:numId w:val="9"/>
      </w:numPr>
    </w:pPr>
  </w:style>
  <w:style w:type="paragraph" w:customStyle="1" w:styleId="ListAlpha2">
    <w:name w:val="List Alpha 2"/>
    <w:basedOn w:val="List2"/>
    <w:rsid w:val="001B1306"/>
    <w:pPr>
      <w:numPr>
        <w:numId w:val="8"/>
      </w:numPr>
    </w:pPr>
  </w:style>
  <w:style w:type="paragraph" w:styleId="List2">
    <w:name w:val="List 2"/>
    <w:basedOn w:val="BodyText"/>
    <w:rsid w:val="001B1306"/>
    <w:pPr>
      <w:tabs>
        <w:tab w:val="left" w:pos="680"/>
      </w:tabs>
      <w:spacing w:before="60" w:after="60"/>
      <w:ind w:left="680" w:hanging="340"/>
    </w:pPr>
  </w:style>
  <w:style w:type="paragraph" w:styleId="List3">
    <w:name w:val="List 3"/>
    <w:basedOn w:val="BodyText"/>
    <w:rsid w:val="001B1306"/>
    <w:pPr>
      <w:tabs>
        <w:tab w:val="left" w:pos="1021"/>
      </w:tabs>
      <w:spacing w:before="60" w:after="60"/>
      <w:ind w:left="1020" w:hanging="340"/>
    </w:pPr>
  </w:style>
  <w:style w:type="paragraph" w:styleId="List4">
    <w:name w:val="List 4"/>
    <w:basedOn w:val="BodyText"/>
    <w:rsid w:val="001B1306"/>
    <w:pPr>
      <w:tabs>
        <w:tab w:val="left" w:pos="1361"/>
      </w:tabs>
      <w:spacing w:before="60" w:after="60"/>
      <w:ind w:left="1361" w:hanging="340"/>
    </w:pPr>
  </w:style>
  <w:style w:type="paragraph" w:styleId="List5">
    <w:name w:val="List 5"/>
    <w:basedOn w:val="BodyText"/>
    <w:rsid w:val="001B1306"/>
    <w:pPr>
      <w:tabs>
        <w:tab w:val="left" w:pos="1701"/>
      </w:tabs>
      <w:spacing w:before="60" w:after="60"/>
      <w:ind w:left="1701" w:hanging="340"/>
    </w:pPr>
  </w:style>
  <w:style w:type="paragraph" w:styleId="ListBullet3">
    <w:name w:val="List Bullet 3"/>
    <w:basedOn w:val="List3"/>
    <w:rsid w:val="001B1306"/>
    <w:pPr>
      <w:numPr>
        <w:numId w:val="14"/>
      </w:numPr>
      <w:tabs>
        <w:tab w:val="clear" w:pos="1021"/>
      </w:tabs>
      <w:ind w:left="1037" w:hanging="357"/>
    </w:pPr>
  </w:style>
  <w:style w:type="paragraph" w:styleId="ListBullet4">
    <w:name w:val="List Bullet 4"/>
    <w:basedOn w:val="List4"/>
    <w:rsid w:val="001B1306"/>
    <w:pPr>
      <w:numPr>
        <w:numId w:val="3"/>
      </w:numPr>
      <w:tabs>
        <w:tab w:val="clear" w:pos="1361"/>
      </w:tabs>
    </w:pPr>
  </w:style>
  <w:style w:type="paragraph" w:styleId="ListBullet5">
    <w:name w:val="List Bullet 5"/>
    <w:basedOn w:val="List5"/>
    <w:rsid w:val="001B1306"/>
    <w:pPr>
      <w:numPr>
        <w:numId w:val="4"/>
      </w:numPr>
    </w:pPr>
  </w:style>
  <w:style w:type="paragraph" w:styleId="ListContinue2">
    <w:name w:val="List Continue 2"/>
    <w:basedOn w:val="List2"/>
    <w:rsid w:val="001B1306"/>
    <w:pPr>
      <w:ind w:firstLine="0"/>
    </w:pPr>
  </w:style>
  <w:style w:type="paragraph" w:styleId="ListContinue3">
    <w:name w:val="List Continue 3"/>
    <w:basedOn w:val="List3"/>
    <w:rsid w:val="001B1306"/>
    <w:pPr>
      <w:ind w:left="1021" w:firstLine="0"/>
    </w:pPr>
  </w:style>
  <w:style w:type="paragraph" w:styleId="ListContinue4">
    <w:name w:val="List Continue 4"/>
    <w:basedOn w:val="List4"/>
    <w:rsid w:val="001B1306"/>
    <w:pPr>
      <w:ind w:firstLine="0"/>
    </w:pPr>
  </w:style>
  <w:style w:type="paragraph" w:styleId="ListContinue5">
    <w:name w:val="List Continue 5"/>
    <w:basedOn w:val="List5"/>
    <w:rsid w:val="001B1306"/>
    <w:pPr>
      <w:ind w:firstLine="0"/>
    </w:pPr>
  </w:style>
  <w:style w:type="paragraph" w:styleId="ListNumber3">
    <w:name w:val="List Number 3"/>
    <w:basedOn w:val="List3"/>
    <w:rsid w:val="001B1306"/>
    <w:pPr>
      <w:numPr>
        <w:numId w:val="5"/>
      </w:numPr>
    </w:pPr>
  </w:style>
  <w:style w:type="paragraph" w:styleId="ListNumber4">
    <w:name w:val="List Number 4"/>
    <w:basedOn w:val="List4"/>
    <w:rsid w:val="001B1306"/>
    <w:pPr>
      <w:numPr>
        <w:numId w:val="6"/>
      </w:numPr>
    </w:pPr>
  </w:style>
  <w:style w:type="paragraph" w:styleId="ListNumber5">
    <w:name w:val="List Number 5"/>
    <w:basedOn w:val="List5"/>
    <w:rsid w:val="001B1306"/>
    <w:pPr>
      <w:numPr>
        <w:numId w:val="7"/>
      </w:numPr>
    </w:pPr>
  </w:style>
  <w:style w:type="paragraph" w:styleId="BlockText">
    <w:name w:val="Block Text"/>
    <w:basedOn w:val="Normal"/>
    <w:rsid w:val="001B1306"/>
    <w:pPr>
      <w:spacing w:after="120"/>
      <w:ind w:left="1440" w:right="1440"/>
    </w:pPr>
  </w:style>
  <w:style w:type="character" w:customStyle="1" w:styleId="Subscript">
    <w:name w:val="Subscript"/>
    <w:basedOn w:val="DefaultParagraphFont"/>
    <w:rsid w:val="001B1306"/>
    <w:rPr>
      <w:sz w:val="16"/>
      <w:vertAlign w:val="subscript"/>
    </w:rPr>
  </w:style>
  <w:style w:type="character" w:customStyle="1" w:styleId="Superscript">
    <w:name w:val="Superscript"/>
    <w:basedOn w:val="DefaultParagraphFont"/>
    <w:rsid w:val="001B1306"/>
    <w:rPr>
      <w:sz w:val="16"/>
      <w:vertAlign w:val="superscript"/>
    </w:rPr>
  </w:style>
  <w:style w:type="character" w:customStyle="1" w:styleId="Symbols">
    <w:name w:val="Symbols"/>
    <w:basedOn w:val="DefaultParagraphFont"/>
    <w:rsid w:val="001B1306"/>
    <w:rPr>
      <w:rFonts w:ascii="Symbol" w:hAnsi="Symbol"/>
    </w:rPr>
  </w:style>
  <w:style w:type="character" w:customStyle="1" w:styleId="MenuOptions">
    <w:name w:val="Menu Options"/>
    <w:basedOn w:val="DefaultParagraphFont"/>
    <w:rsid w:val="001B1306"/>
    <w:rPr>
      <w:rFonts w:ascii="Arial Narrow" w:hAnsi="Arial Narrow"/>
      <w:smallCaps/>
    </w:rPr>
  </w:style>
  <w:style w:type="character" w:customStyle="1" w:styleId="Buttons">
    <w:name w:val="Buttons"/>
    <w:basedOn w:val="DefaultParagraphFont"/>
    <w:rsid w:val="001B1306"/>
    <w:rPr>
      <w:b/>
    </w:rPr>
  </w:style>
  <w:style w:type="character" w:customStyle="1" w:styleId="Underlined">
    <w:name w:val="Underlined"/>
    <w:basedOn w:val="DefaultParagraphFont"/>
    <w:rsid w:val="001B1306"/>
    <w:rPr>
      <w:u w:val="single"/>
    </w:rPr>
  </w:style>
  <w:style w:type="paragraph" w:customStyle="1" w:styleId="TableBodyTextRight">
    <w:name w:val="Table Body Text Right"/>
    <w:basedOn w:val="TableBodyText"/>
    <w:rsid w:val="001B1306"/>
    <w:pPr>
      <w:widowControl w:val="0"/>
      <w:autoSpaceDE w:val="0"/>
      <w:autoSpaceDN w:val="0"/>
      <w:adjustRightInd w:val="0"/>
      <w:jc w:val="right"/>
    </w:pPr>
    <w:rPr>
      <w:rFonts w:cs="Arial"/>
      <w:szCs w:val="18"/>
    </w:rPr>
  </w:style>
  <w:style w:type="paragraph" w:customStyle="1" w:styleId="CopyrightText">
    <w:name w:val="Copyright Text"/>
    <w:basedOn w:val="BodyText"/>
    <w:rsid w:val="001B1306"/>
    <w:rPr>
      <w:sz w:val="18"/>
    </w:rPr>
  </w:style>
  <w:style w:type="paragraph" w:customStyle="1" w:styleId="BodySmallRight">
    <w:name w:val="Body Small Right"/>
    <w:basedOn w:val="BodyTextRight"/>
    <w:rsid w:val="001B1306"/>
    <w:rPr>
      <w:sz w:val="18"/>
      <w:szCs w:val="18"/>
    </w:rPr>
  </w:style>
  <w:style w:type="paragraph" w:customStyle="1" w:styleId="MarginEdition">
    <w:name w:val="Margin Edition"/>
    <w:basedOn w:val="MarginNote"/>
    <w:rsid w:val="001B1306"/>
    <w:pPr>
      <w:spacing w:before="0" w:after="0"/>
    </w:pPr>
    <w:rPr>
      <w:rFonts w:ascii="Times New Roman" w:hAnsi="Times New Roman"/>
      <w:color w:val="999999"/>
    </w:rPr>
  </w:style>
  <w:style w:type="paragraph" w:customStyle="1" w:styleId="Spacer">
    <w:name w:val="Spacer"/>
    <w:basedOn w:val="Normal"/>
    <w:rsid w:val="001B1306"/>
    <w:rPr>
      <w:sz w:val="2"/>
      <w:szCs w:val="2"/>
    </w:rPr>
  </w:style>
  <w:style w:type="character" w:customStyle="1" w:styleId="Small">
    <w:name w:val="Small"/>
    <w:basedOn w:val="DefaultParagraphFont"/>
    <w:rsid w:val="001B1306"/>
    <w:rPr>
      <w:sz w:val="16"/>
    </w:rPr>
  </w:style>
  <w:style w:type="paragraph" w:customStyle="1" w:styleId="WideTable">
    <w:name w:val="Wide Table"/>
    <w:basedOn w:val="Normal"/>
    <w:rsid w:val="001B1306"/>
    <w:pPr>
      <w:ind w:left="-1418"/>
    </w:pPr>
    <w:rPr>
      <w:sz w:val="2"/>
      <w:szCs w:val="2"/>
    </w:rPr>
  </w:style>
  <w:style w:type="character" w:styleId="PageNumber">
    <w:name w:val="page number"/>
    <w:basedOn w:val="DefaultParagraphFont"/>
    <w:rsid w:val="001B1306"/>
  </w:style>
  <w:style w:type="paragraph" w:styleId="Quote">
    <w:name w:val="Quote"/>
    <w:basedOn w:val="Heading1"/>
    <w:link w:val="QuoteChar"/>
    <w:qFormat/>
    <w:rsid w:val="001B1306"/>
    <w:rPr>
      <w:b w:val="0"/>
      <w:sz w:val="72"/>
      <w:szCs w:val="72"/>
      <w:lang w:val="en-NZ"/>
    </w:rPr>
  </w:style>
  <w:style w:type="character" w:customStyle="1" w:styleId="QuoteChar">
    <w:name w:val="Quote Char"/>
    <w:basedOn w:val="DefaultParagraphFont"/>
    <w:link w:val="Quote"/>
    <w:rsid w:val="001B1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306"/>
    <w:pPr>
      <w:pageBreakBefore/>
    </w:pPr>
  </w:style>
  <w:style w:type="paragraph" w:customStyle="1" w:styleId="Border">
    <w:name w:val="Border"/>
    <w:basedOn w:val="Normal"/>
    <w:qFormat/>
    <w:rsid w:val="001B1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306"/>
    <w:rPr>
      <w:b/>
      <w:bCs/>
      <w:i/>
      <w:iCs/>
      <w:color w:val="auto"/>
    </w:rPr>
  </w:style>
  <w:style w:type="paragraph" w:styleId="IntenseQuote">
    <w:name w:val="Intense Quote"/>
    <w:basedOn w:val="Normal"/>
    <w:next w:val="Normal"/>
    <w:link w:val="IntenseQuoteChar"/>
    <w:uiPriority w:val="30"/>
    <w:qFormat/>
    <w:rsid w:val="001B1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306"/>
    <w:rPr>
      <w:smallCaps/>
      <w:color w:val="auto"/>
      <w:u w:val="single"/>
    </w:rPr>
  </w:style>
  <w:style w:type="character" w:styleId="IntenseReference">
    <w:name w:val="Intense Reference"/>
    <w:basedOn w:val="DefaultParagraphFont"/>
    <w:uiPriority w:val="32"/>
    <w:qFormat/>
    <w:rsid w:val="001B1306"/>
    <w:rPr>
      <w:b/>
      <w:bCs/>
      <w:smallCaps/>
      <w:color w:val="auto"/>
      <w:spacing w:val="5"/>
      <w:u w:val="single"/>
    </w:rPr>
  </w:style>
  <w:style w:type="paragraph" w:customStyle="1" w:styleId="2ColumnHeading">
    <w:name w:val="2Column Heading"/>
    <w:basedOn w:val="BodyText"/>
    <w:qFormat/>
    <w:rsid w:val="001B1306"/>
    <w:pPr>
      <w:spacing w:after="60"/>
      <w:ind w:left="-2268"/>
    </w:pPr>
    <w:rPr>
      <w:b/>
    </w:rPr>
  </w:style>
  <w:style w:type="paragraph" w:customStyle="1" w:styleId="Heading1TOC">
    <w:name w:val="Heading1 TOC"/>
    <w:basedOn w:val="Normal"/>
    <w:qFormat/>
    <w:rsid w:val="001B1306"/>
    <w:pPr>
      <w:spacing w:before="240" w:after="120"/>
    </w:pPr>
    <w:rPr>
      <w:rFonts w:ascii="Times New Roman" w:hAnsi="Times New Roman"/>
      <w:b/>
      <w:sz w:val="32"/>
    </w:rPr>
  </w:style>
  <w:style w:type="paragraph" w:customStyle="1" w:styleId="Heading2TOC">
    <w:name w:val="Heading2 TOC"/>
    <w:basedOn w:val="Normal"/>
    <w:qFormat/>
    <w:rsid w:val="001B1306"/>
    <w:pPr>
      <w:spacing w:before="240" w:after="60"/>
    </w:pPr>
    <w:rPr>
      <w:rFonts w:ascii="Times New Roman" w:hAnsi="Times New Roman"/>
      <w:b/>
      <w:sz w:val="28"/>
    </w:rPr>
  </w:style>
  <w:style w:type="character" w:customStyle="1" w:styleId="Underline">
    <w:name w:val="Underline"/>
    <w:basedOn w:val="DefaultParagraphFont"/>
    <w:qFormat/>
    <w:rsid w:val="001B1306"/>
    <w:rPr>
      <w:u w:val="single"/>
    </w:rPr>
  </w:style>
  <w:style w:type="character" w:customStyle="1" w:styleId="BoldandItalics">
    <w:name w:val="Bold and Italics"/>
    <w:qFormat/>
    <w:rsid w:val="001B1306"/>
    <w:rPr>
      <w:b/>
      <w:i/>
      <w:u w:val="none"/>
    </w:rPr>
  </w:style>
  <w:style w:type="paragraph" w:styleId="BalloonText">
    <w:name w:val="Balloon Text"/>
    <w:basedOn w:val="Normal"/>
    <w:link w:val="BalloonTextChar"/>
    <w:rsid w:val="001B1306"/>
    <w:rPr>
      <w:rFonts w:ascii="Tahoma" w:hAnsi="Tahoma" w:cs="Tahoma"/>
      <w:sz w:val="16"/>
      <w:szCs w:val="16"/>
    </w:rPr>
  </w:style>
  <w:style w:type="character" w:customStyle="1" w:styleId="BalloonTextChar">
    <w:name w:val="Balloon Text Char"/>
    <w:basedOn w:val="DefaultParagraphFont"/>
    <w:link w:val="BalloonText"/>
    <w:rsid w:val="001B1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306"/>
    <w:rPr>
      <w:b/>
      <w:color w:val="660033"/>
      <w:spacing w:val="0"/>
    </w:rPr>
  </w:style>
  <w:style w:type="paragraph" w:customStyle="1" w:styleId="Nameditemlist">
    <w:name w:val="Named item list"/>
    <w:basedOn w:val="BodyText"/>
    <w:qFormat/>
    <w:rsid w:val="001B1306"/>
    <w:pPr>
      <w:tabs>
        <w:tab w:val="left" w:pos="2835"/>
      </w:tabs>
      <w:ind w:left="2835" w:hanging="2835"/>
    </w:pPr>
  </w:style>
  <w:style w:type="paragraph" w:customStyle="1" w:styleId="BodyTextnopadding">
    <w:name w:val="Body Text no padding"/>
    <w:basedOn w:val="BodyText"/>
    <w:qFormat/>
    <w:rsid w:val="001B1306"/>
    <w:pPr>
      <w:spacing w:before="0" w:after="0"/>
    </w:pPr>
  </w:style>
  <w:style w:type="paragraph" w:customStyle="1" w:styleId="BodyTextBold">
    <w:name w:val="Body Text Bold"/>
    <w:basedOn w:val="BodyText"/>
    <w:qFormat/>
    <w:rsid w:val="001B1306"/>
    <w:rPr>
      <w:b/>
    </w:rPr>
  </w:style>
  <w:style w:type="character" w:styleId="Hyperlink">
    <w:name w:val="Hyperlink"/>
    <w:basedOn w:val="DefaultParagraphFont"/>
    <w:uiPriority w:val="99"/>
    <w:unhideWhenUsed/>
    <w:rsid w:val="004B6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2893</Characters>
  <Application>Microsoft Office Word</Application>
  <DocSecurity>0</DocSecurity>
  <Lines>93</Lines>
  <Paragraphs>81</Paragraphs>
  <ScaleCrop>false</ScaleCrop>
  <Company>Author-it Software Corporation Ltd.</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CPPREP4101 Appraise property for sale or lease</dc:title>
  <dc:subject>Approved</dc:subject>
  <dc:creator>Artibus Innovation</dc:creator>
  <cp:keywords>Release: 1</cp:keywords>
  <dc:description>Review Date: 12 April 2008</dc:description>
  <cp:lastModifiedBy>HSD_TPCMSd.prod</cp:lastModifiedBy>
  <cp:revision>3</cp:revision>
  <dcterms:created xsi:type="dcterms:W3CDTF">2022-12-19T06:07:00Z</dcterms:created>
  <dcterms:modified xsi:type="dcterms:W3CDTF">2022-12-19T06:07:00Z</dcterms:modified>
</cp:coreProperties>
</file>