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55C1" w:rsidP="000355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CPPREP4005 Prepare to work with real estate trust accounts</w:t>
      </w:r>
      <w:r>
        <w:fldChar w:fldCharType="end"/>
      </w:r>
    </w:p>
    <w:p w:rsidR="000355C1" w:rsidP="000355C1">
      <w:pPr>
        <w:pStyle w:val="Version"/>
        <w:sectPr w:rsidSect="00A078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782C" w:rsidP="00A0782C">
      <w:pPr>
        <w:pStyle w:val="SuperHeading"/>
      </w:pPr>
      <w:r w:rsidRPr="00A0782C">
        <w:t>Assessment Requirements for CPPREP4005 Prepare to work with real estate trust accounts</w:t>
      </w:r>
    </w:p>
    <w:p w:rsidR="00000000" w:rsidRPr="00A0782C" w:rsidP="00A0782C">
      <w:pPr>
        <w:pStyle w:val="Heading1"/>
      </w:pPr>
      <w:bookmarkStart w:id="1" w:name="O_1020585"/>
      <w:bookmarkEnd w:id="1"/>
      <w:r w:rsidRPr="00A0782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078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82C">
            <w:pPr>
              <w:pStyle w:val="BodyText"/>
              <w:rPr>
                <w:lang w:val="en-NZ"/>
              </w:rPr>
            </w:pPr>
            <w:r w:rsidRPr="00A0782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82C" w:rsidP="00A0782C">
            <w:pPr>
              <w:pStyle w:val="BodyText"/>
            </w:pPr>
            <w:r w:rsidRPr="00A0782C">
              <w:t>This version first released with CPP Property Services Training Package Release 8.0.</w:t>
            </w:r>
          </w:p>
          <w:p w:rsidR="00000000" w:rsidRPr="00A0782C" w:rsidP="00A0782C">
            <w:pPr>
              <w:pStyle w:val="BodyText"/>
            </w:pPr>
            <w:r w:rsidRPr="00A0782C">
              <w:t>Supersedes but is not equivalent to CPPDSM4006A Establish and manage agency trust accounts and CPPDSM4080A Work in the real estate industry.</w:t>
            </w:r>
          </w:p>
          <w:p w:rsidR="00000000" w:rsidRPr="00A0782C" w:rsidP="00A0782C">
            <w:pPr>
              <w:pStyle w:val="BodyText"/>
            </w:pPr>
            <w:r w:rsidRPr="00A0782C">
              <w:t>Merged to reduce duplication. Updated to the Standards for Training Packages.</w:t>
            </w:r>
          </w:p>
        </w:tc>
      </w:tr>
    </w:tbl>
    <w:p w:rsidR="00000000" w:rsidRPr="00A0782C" w:rsidP="00A0782C">
      <w:pPr>
        <w:pStyle w:val="BodyText"/>
      </w:pPr>
    </w:p>
    <w:p w:rsidR="00000000" w:rsidRPr="00A0782C" w:rsidP="00A0782C">
      <w:pPr>
        <w:pStyle w:val="AllowPageBreak"/>
      </w:pPr>
    </w:p>
    <w:p w:rsidR="00000000" w:rsidRPr="00A0782C" w:rsidP="00A0782C">
      <w:pPr>
        <w:pStyle w:val="Heading1"/>
      </w:pPr>
      <w:bookmarkStart w:id="2" w:name="O_1020588"/>
      <w:bookmarkEnd w:id="2"/>
      <w:r w:rsidRPr="00A0782C">
        <w:t>Performance Evid</w:t>
      </w:r>
      <w:r w:rsidRPr="00A0782C">
        <w:t>ence</w:t>
      </w:r>
    </w:p>
    <w:p w:rsidR="00000000" w:rsidRPr="00A0782C" w:rsidP="000355C1">
      <w:pPr>
        <w:pStyle w:val="BodyText"/>
      </w:pPr>
      <w:r w:rsidRPr="00A0782C">
        <w:t>To demonstrate competency in this unit, a person must:</w:t>
      </w:r>
    </w:p>
    <w:p w:rsidR="00000000" w:rsidRPr="00A0782C" w:rsidP="00A0782C">
      <w:pPr>
        <w:pStyle w:val="ListBullet"/>
      </w:pPr>
      <w:r w:rsidRPr="00A0782C">
        <w:t xml:space="preserve">explain the purpose of trust accounts in real estate </w:t>
      </w:r>
    </w:p>
    <w:p w:rsidR="00000000" w:rsidRPr="00A0782C" w:rsidP="00A0782C">
      <w:pPr>
        <w:pStyle w:val="ListBullet"/>
      </w:pPr>
      <w:r w:rsidRPr="00A0782C">
        <w:t>review at least 5 trust transactions, and for each transaction determine who, within established agency processes, has the scope of responsib</w:t>
      </w:r>
      <w:r w:rsidRPr="00A0782C">
        <w:t>ility for executing the transaction</w:t>
      </w:r>
    </w:p>
    <w:p w:rsidR="00000000" w:rsidRPr="00A0782C" w:rsidP="00A0782C">
      <w:pPr>
        <w:pStyle w:val="ListBullet"/>
      </w:pPr>
      <w:r w:rsidRPr="00A0782C">
        <w:t>review documents relating to end of month processing and identify key components that are required by legislation in the state or territory of operation.</w:t>
      </w:r>
    </w:p>
    <w:p w:rsidR="00000000" w:rsidRPr="00A0782C" w:rsidP="000355C1">
      <w:pPr>
        <w:pStyle w:val="BodyText"/>
      </w:pPr>
      <w:r w:rsidRPr="00A0782C">
        <w:t>In doing this, the person must meet the performance criteria for t</w:t>
      </w:r>
      <w:r w:rsidRPr="00A0782C">
        <w:t>his unit.</w:t>
      </w:r>
    </w:p>
    <w:p w:rsidR="00000000" w:rsidRPr="00A0782C" w:rsidP="00A0782C">
      <w:pPr>
        <w:pStyle w:val="Heading1"/>
      </w:pPr>
      <w:bookmarkStart w:id="3" w:name="O_1020587"/>
      <w:bookmarkEnd w:id="3"/>
      <w:r w:rsidRPr="00A0782C">
        <w:t>Knowledge Evidence</w:t>
      </w:r>
    </w:p>
    <w:p w:rsidR="00000000" w:rsidRPr="00A0782C" w:rsidP="000355C1">
      <w:pPr>
        <w:pStyle w:val="BodyText"/>
      </w:pPr>
      <w:r w:rsidRPr="00A0782C">
        <w:t>To be competent in this unit, a person must demonstrate knowledge of:</w:t>
      </w:r>
    </w:p>
    <w:p w:rsidR="00000000" w:rsidRPr="00A0782C" w:rsidP="00A0782C">
      <w:pPr>
        <w:pStyle w:val="ListBullet"/>
      </w:pPr>
      <w:r w:rsidRPr="00A0782C">
        <w:t>difference between trust money and general business trading money</w:t>
      </w:r>
    </w:p>
    <w:p w:rsidR="00000000" w:rsidRPr="00A0782C" w:rsidP="00A0782C">
      <w:pPr>
        <w:pStyle w:val="ListBullet"/>
      </w:pPr>
      <w:r w:rsidRPr="00A0782C">
        <w:t>different types of trust money</w:t>
      </w:r>
    </w:p>
    <w:p w:rsidR="00000000" w:rsidRPr="00A0782C" w:rsidP="00A0782C">
      <w:pPr>
        <w:pStyle w:val="ListBullet"/>
      </w:pPr>
      <w:r w:rsidRPr="00A0782C">
        <w:t xml:space="preserve">purpose of trust accounts in real estate </w:t>
      </w:r>
    </w:p>
    <w:p w:rsidR="00000000" w:rsidRPr="00A0782C" w:rsidP="00A0782C">
      <w:pPr>
        <w:pStyle w:val="ListBullet"/>
      </w:pPr>
      <w:r w:rsidRPr="00A0782C">
        <w:t>types of real estate trust accounts in the state or territory of operation</w:t>
      </w:r>
    </w:p>
    <w:p w:rsidR="00000000" w:rsidRPr="00A0782C" w:rsidP="00A0782C">
      <w:pPr>
        <w:pStyle w:val="ListBullet"/>
      </w:pPr>
      <w:r w:rsidRPr="00A0782C">
        <w:t>legal and regulatory framework for real estate trust accounts</w:t>
      </w:r>
    </w:p>
    <w:p w:rsidR="00000000" w:rsidRPr="00A0782C" w:rsidP="00A0782C">
      <w:pPr>
        <w:pStyle w:val="ListBullet"/>
      </w:pPr>
      <w:r w:rsidRPr="00A0782C">
        <w:t>impact on client confidence and agency brand resulting from breaches to trust</w:t>
      </w:r>
      <w:r w:rsidRPr="00A0782C">
        <w:t xml:space="preserve"> account transaction processes and fraudulent activities</w:t>
      </w:r>
    </w:p>
    <w:p w:rsidR="00000000" w:rsidRPr="00A0782C" w:rsidP="00A0782C">
      <w:pPr>
        <w:pStyle w:val="ListBullet"/>
      </w:pPr>
      <w:r w:rsidRPr="00A0782C">
        <w:t>standard transactions made with trust accounts:</w:t>
      </w:r>
    </w:p>
    <w:p w:rsidR="00000000" w:rsidRPr="00A0782C" w:rsidP="00A0782C">
      <w:pPr>
        <w:pStyle w:val="ListBullet2"/>
      </w:pPr>
      <w:r w:rsidRPr="00A0782C">
        <w:t>deposits, including cash, cheque, electronic funds transfer and direct deposits</w:t>
      </w:r>
    </w:p>
    <w:p w:rsidR="00000000" w:rsidRPr="00A0782C" w:rsidP="00A0782C">
      <w:pPr>
        <w:pStyle w:val="ListBullet2"/>
      </w:pPr>
      <w:r w:rsidRPr="00A0782C">
        <w:t>withdrawals, including cheque and electronic funds transfer</w:t>
      </w:r>
    </w:p>
    <w:p w:rsidR="00000000" w:rsidRPr="00A0782C" w:rsidP="00A0782C">
      <w:pPr>
        <w:pStyle w:val="ListBullet2"/>
      </w:pPr>
      <w:r w:rsidRPr="00A0782C">
        <w:t>entries to</w:t>
      </w:r>
      <w:r w:rsidRPr="00A0782C">
        <w:t xml:space="preserve"> journals and ledgers</w:t>
      </w:r>
    </w:p>
    <w:p w:rsidR="00000000" w:rsidRPr="00A0782C" w:rsidP="00A0782C">
      <w:pPr>
        <w:pStyle w:val="ListBullet2"/>
      </w:pPr>
      <w:r w:rsidRPr="00A0782C">
        <w:t>balances and reconciliations</w:t>
      </w:r>
    </w:p>
    <w:p w:rsidR="00000000" w:rsidRPr="00A0782C" w:rsidP="00A0782C">
      <w:pPr>
        <w:pStyle w:val="ListBullet2"/>
      </w:pPr>
      <w:r w:rsidRPr="00A0782C">
        <w:t>reports and statements</w:t>
      </w:r>
    </w:p>
    <w:p w:rsidR="00000000" w:rsidRPr="00A0782C" w:rsidP="00A0782C">
      <w:pPr>
        <w:pStyle w:val="ListBullet"/>
      </w:pPr>
      <w:r w:rsidRPr="00A0782C">
        <w:t>receiving, receipting and banking trust moneys</w:t>
      </w:r>
    </w:p>
    <w:p w:rsidR="00000000" w:rsidRPr="00A0782C" w:rsidP="00A0782C">
      <w:pPr>
        <w:pStyle w:val="ListBullet"/>
      </w:pPr>
      <w:r w:rsidRPr="00A0782C">
        <w:t>actions required where a trust account is overdrawn or compromised, or discrepancies are identified</w:t>
      </w:r>
    </w:p>
    <w:p w:rsidR="00000000" w:rsidRPr="00A0782C" w:rsidP="00A0782C">
      <w:pPr>
        <w:pStyle w:val="ListBullet"/>
      </w:pPr>
      <w:r w:rsidRPr="00A0782C">
        <w:t>established industry processes to maintain trust account integrity, security, confidentiality and privacy</w:t>
      </w:r>
    </w:p>
    <w:p w:rsidR="00000000" w:rsidRPr="00A0782C" w:rsidP="00A0782C">
      <w:pPr>
        <w:pStyle w:val="ListBullet"/>
      </w:pPr>
      <w:r w:rsidRPr="00A0782C">
        <w:t>role and functions of trust accounting software packages</w:t>
      </w:r>
    </w:p>
    <w:p w:rsidR="00000000" w:rsidRPr="00A0782C" w:rsidP="00A0782C">
      <w:pPr>
        <w:pStyle w:val="ListBullet"/>
      </w:pPr>
      <w:r w:rsidRPr="00A0782C">
        <w:t xml:space="preserve">purpose of internal and external audits </w:t>
      </w:r>
    </w:p>
    <w:p w:rsidR="00000000" w:rsidRPr="00A0782C" w:rsidP="00A0782C">
      <w:pPr>
        <w:pStyle w:val="ListBullet"/>
      </w:pPr>
      <w:r w:rsidRPr="00A0782C">
        <w:t>scope and limitations of own role in working with re</w:t>
      </w:r>
      <w:r w:rsidRPr="00A0782C">
        <w:t>al estate trust accounts.</w:t>
      </w:r>
    </w:p>
    <w:p w:rsidR="00000000" w:rsidRPr="00A0782C" w:rsidP="00A0782C">
      <w:pPr>
        <w:pStyle w:val="AllowPageBreak"/>
      </w:pPr>
    </w:p>
    <w:p w:rsidR="00000000" w:rsidRPr="00A0782C" w:rsidP="00A0782C">
      <w:pPr>
        <w:pStyle w:val="Heading1"/>
      </w:pPr>
      <w:bookmarkStart w:id="4" w:name="O_1020586"/>
      <w:bookmarkEnd w:id="4"/>
      <w:r w:rsidRPr="00A0782C">
        <w:t>Assessment Conditions</w:t>
      </w:r>
    </w:p>
    <w:p w:rsidR="00000000" w:rsidRPr="00A0782C" w:rsidP="000355C1">
      <w:pPr>
        <w:pStyle w:val="BodyText"/>
      </w:pPr>
      <w:r w:rsidRPr="00A0782C">
        <w:t xml:space="preserve">Assessors must satisfy the requirements for assessors listed in the Standards for Registered Training Organisations. </w:t>
      </w:r>
    </w:p>
    <w:p w:rsidR="00000000" w:rsidRPr="00A0782C" w:rsidP="000355C1">
      <w:pPr>
        <w:pStyle w:val="BodyText"/>
      </w:pPr>
      <w:r w:rsidRPr="00A0782C">
        <w:t>Assessment must be conducted in the workplace or in a simulated workpla</w:t>
      </w:r>
      <w:r w:rsidRPr="00A0782C">
        <w:t xml:space="preserve">ce environment. </w:t>
      </w:r>
    </w:p>
    <w:p w:rsidR="00000000" w:rsidRPr="00A0782C" w:rsidP="000355C1">
      <w:pPr>
        <w:pStyle w:val="BodyText"/>
      </w:pPr>
      <w:r w:rsidRPr="00A0782C">
        <w:t>Assessors are responsible for ensuring that the person demonstrating competency has access to:</w:t>
      </w:r>
    </w:p>
    <w:p w:rsidR="00000000" w:rsidRPr="00A0782C" w:rsidP="00A0782C">
      <w:pPr>
        <w:pStyle w:val="ListBullet"/>
      </w:pPr>
      <w:r w:rsidRPr="00A0782C">
        <w:t xml:space="preserve">receipts </w:t>
      </w:r>
    </w:p>
    <w:p w:rsidR="00000000" w:rsidRPr="00A0782C" w:rsidP="00A0782C">
      <w:pPr>
        <w:pStyle w:val="ListBullet"/>
      </w:pPr>
      <w:r w:rsidRPr="00A0782C">
        <w:t>banking processes and procedures</w:t>
      </w:r>
    </w:p>
    <w:p w:rsidR="00000000" w:rsidRPr="00A0782C" w:rsidP="00A0782C">
      <w:pPr>
        <w:pStyle w:val="ListBullet"/>
      </w:pPr>
      <w:r w:rsidRPr="00A0782C">
        <w:t>client disbursements</w:t>
      </w:r>
    </w:p>
    <w:p w:rsidR="00000000" w:rsidRPr="00A0782C" w:rsidP="00A0782C">
      <w:pPr>
        <w:pStyle w:val="ListBullet"/>
      </w:pPr>
      <w:r w:rsidRPr="00A0782C">
        <w:t>office expenses</w:t>
      </w:r>
    </w:p>
    <w:p w:rsidR="00000000" w:rsidRPr="00A0782C" w:rsidP="00A0782C">
      <w:pPr>
        <w:pStyle w:val="ListBullet"/>
      </w:pPr>
      <w:r w:rsidRPr="00A0782C">
        <w:t xml:space="preserve">established industry procedures for trust account transactions </w:t>
      </w:r>
    </w:p>
    <w:p w:rsidR="00000000" w:rsidRPr="00A0782C" w:rsidP="00A0782C">
      <w:pPr>
        <w:pStyle w:val="ListBullet"/>
      </w:pPr>
      <w:r w:rsidRPr="00A0782C">
        <w:t>regulator and licensing requirements for trust account transactions</w:t>
      </w:r>
    </w:p>
    <w:p w:rsidR="00000000" w:rsidRPr="00A0782C" w:rsidP="00A0782C">
      <w:pPr>
        <w:pStyle w:val="ListBullet"/>
      </w:pPr>
      <w:r w:rsidRPr="00A0782C">
        <w:t>summary of offences and penalties for breaches of trust account requirements</w:t>
      </w:r>
    </w:p>
    <w:p w:rsidR="00000000" w:rsidRPr="00A0782C" w:rsidP="00A0782C">
      <w:pPr>
        <w:pStyle w:val="ListBullet"/>
      </w:pPr>
      <w:r w:rsidRPr="00A0782C">
        <w:t>sources of further information about real estate trust accounts.</w:t>
      </w:r>
    </w:p>
    <w:p w:rsidR="00000000" w:rsidRPr="00A0782C" w:rsidP="00A0782C">
      <w:pPr>
        <w:pStyle w:val="AllowPageBreak"/>
      </w:pPr>
    </w:p>
    <w:p w:rsidR="00000000" w:rsidRPr="00A0782C" w:rsidP="00A0782C">
      <w:pPr>
        <w:pStyle w:val="Heading1"/>
      </w:pPr>
      <w:bookmarkStart w:id="5" w:name="O_1020584"/>
      <w:bookmarkEnd w:id="5"/>
      <w:r w:rsidRPr="00A0782C">
        <w:t>Links</w:t>
      </w:r>
    </w:p>
    <w:p w:rsidR="00000000" w:rsidRPr="00A0782C" w:rsidP="000355C1">
      <w:pPr>
        <w:pStyle w:val="BodyText"/>
      </w:pPr>
      <w:r w:rsidRPr="00A0782C">
        <w:t>Companion volumes to</w:t>
      </w:r>
      <w:r w:rsidRPr="00A0782C">
        <w:t xml:space="preserve">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542D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A0782C" w:rsidP="00A0782C"/>
    <w:sectPr w:rsidSect="00A078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8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82C" w:rsidRPr="000355C1" w:rsidP="000355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8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5C1" w:rsidP="00A078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355C1" w:rsidP="00A078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0355C1" w:rsidP="00A078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8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5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782C" w:rsidRPr="000355C1" w:rsidP="000355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8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5C1" w:rsidRPr="002D2AF8" w:rsidP="00A078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CPPREP4005 Prepare to work with real estate trust accounts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0355C1" w:rsidP="00A078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EC9A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368E1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BE6C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78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78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78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78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78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78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78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78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78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78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78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782C"/>
  </w:style>
  <w:style w:type="character" w:customStyle="1" w:styleId="Heading1Char">
    <w:name w:val="Heading 1 Char"/>
    <w:basedOn w:val="DefaultParagraphFont"/>
    <w:link w:val="Heading1"/>
    <w:rsid w:val="00A078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78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78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782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0782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078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78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78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78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78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78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78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78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78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78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78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78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78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78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78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78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78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78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78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78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78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78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0782C"/>
    <w:rPr>
      <w:b/>
      <w:spacing w:val="0"/>
    </w:rPr>
  </w:style>
  <w:style w:type="paragraph" w:customStyle="1" w:styleId="SuperTitle">
    <w:name w:val="SuperTitle"/>
    <w:basedOn w:val="Title"/>
    <w:rsid w:val="00A078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78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78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78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78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78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78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78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78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78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78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78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782C"/>
    <w:rPr>
      <w:i/>
    </w:rPr>
  </w:style>
  <w:style w:type="paragraph" w:styleId="Caption">
    <w:name w:val="caption"/>
    <w:basedOn w:val="BodyText"/>
    <w:next w:val="Normal"/>
    <w:qFormat/>
    <w:rsid w:val="00A078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78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78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782C"/>
  </w:style>
  <w:style w:type="paragraph" w:styleId="TableofFigures">
    <w:name w:val="table of figures"/>
    <w:basedOn w:val="Normal"/>
    <w:next w:val="Normal"/>
    <w:semiHidden/>
    <w:rsid w:val="00A078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78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782C"/>
    <w:rPr>
      <w:rFonts w:ascii="Wingdings" w:hAnsi="Wingdings"/>
    </w:rPr>
  </w:style>
  <w:style w:type="paragraph" w:customStyle="1" w:styleId="TableHeading">
    <w:name w:val="Table Heading"/>
    <w:basedOn w:val="HeadingBase"/>
    <w:rsid w:val="00A078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782C"/>
    <w:rPr>
      <w:color w:val="0033CC"/>
      <w:u w:val="none"/>
    </w:rPr>
  </w:style>
  <w:style w:type="paragraph" w:customStyle="1" w:styleId="BodyTextRight">
    <w:name w:val="Body Text Right"/>
    <w:basedOn w:val="BodyText"/>
    <w:rsid w:val="00A078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78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78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78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78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78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782C"/>
    <w:rPr>
      <w:sz w:val="32"/>
    </w:rPr>
  </w:style>
  <w:style w:type="paragraph" w:customStyle="1" w:styleId="HeadingProcedure">
    <w:name w:val="Heading Procedure"/>
    <w:basedOn w:val="HeadingBase"/>
    <w:next w:val="Normal"/>
    <w:rsid w:val="00A078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782C"/>
    <w:pPr>
      <w:spacing w:before="60" w:after="60"/>
    </w:pPr>
  </w:style>
  <w:style w:type="paragraph" w:styleId="ListContinue">
    <w:name w:val="List Continue"/>
    <w:basedOn w:val="List"/>
    <w:rsid w:val="00A0782C"/>
    <w:pPr>
      <w:ind w:firstLine="0"/>
    </w:pPr>
  </w:style>
  <w:style w:type="paragraph" w:customStyle="1" w:styleId="ListNote">
    <w:name w:val="List Note"/>
    <w:basedOn w:val="List"/>
    <w:rsid w:val="00A078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78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78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782C"/>
    <w:rPr>
      <w:rFonts w:ascii="Courier New" w:hAnsi="Courier New"/>
    </w:rPr>
  </w:style>
  <w:style w:type="paragraph" w:customStyle="1" w:styleId="NoteBullet">
    <w:name w:val="Note Bullet"/>
    <w:basedOn w:val="Note"/>
    <w:rsid w:val="00A078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78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78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78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78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78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78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782C"/>
    <w:rPr>
      <w:b/>
      <w:smallCaps/>
    </w:rPr>
  </w:style>
  <w:style w:type="paragraph" w:customStyle="1" w:styleId="TableListNumber">
    <w:name w:val="Table List Number"/>
    <w:basedOn w:val="ListNumber"/>
    <w:rsid w:val="00A078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78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782C"/>
    <w:pPr>
      <w:numPr>
        <w:numId w:val="9"/>
      </w:numPr>
    </w:pPr>
  </w:style>
  <w:style w:type="paragraph" w:customStyle="1" w:styleId="ListAlpha2">
    <w:name w:val="List Alpha 2"/>
    <w:basedOn w:val="List2"/>
    <w:rsid w:val="00A0782C"/>
    <w:pPr>
      <w:numPr>
        <w:numId w:val="8"/>
      </w:numPr>
    </w:pPr>
  </w:style>
  <w:style w:type="paragraph" w:styleId="List2">
    <w:name w:val="List 2"/>
    <w:basedOn w:val="BodyText"/>
    <w:rsid w:val="00A078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78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78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78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78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78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782C"/>
    <w:pPr>
      <w:numPr>
        <w:numId w:val="4"/>
      </w:numPr>
    </w:pPr>
  </w:style>
  <w:style w:type="paragraph" w:styleId="ListContinue2">
    <w:name w:val="List Continue 2"/>
    <w:basedOn w:val="List2"/>
    <w:rsid w:val="00A0782C"/>
    <w:pPr>
      <w:ind w:firstLine="0"/>
    </w:pPr>
  </w:style>
  <w:style w:type="paragraph" w:styleId="ListContinue3">
    <w:name w:val="List Continue 3"/>
    <w:basedOn w:val="List3"/>
    <w:rsid w:val="00A0782C"/>
    <w:pPr>
      <w:ind w:left="1021" w:firstLine="0"/>
    </w:pPr>
  </w:style>
  <w:style w:type="paragraph" w:styleId="ListContinue4">
    <w:name w:val="List Continue 4"/>
    <w:basedOn w:val="List4"/>
    <w:rsid w:val="00A0782C"/>
    <w:pPr>
      <w:ind w:firstLine="0"/>
    </w:pPr>
  </w:style>
  <w:style w:type="paragraph" w:styleId="ListContinue5">
    <w:name w:val="List Continue 5"/>
    <w:basedOn w:val="List5"/>
    <w:rsid w:val="00A0782C"/>
    <w:pPr>
      <w:ind w:firstLine="0"/>
    </w:pPr>
  </w:style>
  <w:style w:type="paragraph" w:styleId="ListNumber3">
    <w:name w:val="List Number 3"/>
    <w:basedOn w:val="List3"/>
    <w:rsid w:val="00A0782C"/>
    <w:pPr>
      <w:numPr>
        <w:numId w:val="5"/>
      </w:numPr>
    </w:pPr>
  </w:style>
  <w:style w:type="paragraph" w:styleId="ListNumber4">
    <w:name w:val="List Number 4"/>
    <w:basedOn w:val="List4"/>
    <w:rsid w:val="00A0782C"/>
    <w:pPr>
      <w:numPr>
        <w:numId w:val="6"/>
      </w:numPr>
    </w:pPr>
  </w:style>
  <w:style w:type="paragraph" w:styleId="ListNumber5">
    <w:name w:val="List Number 5"/>
    <w:basedOn w:val="List5"/>
    <w:rsid w:val="00A0782C"/>
    <w:pPr>
      <w:numPr>
        <w:numId w:val="7"/>
      </w:numPr>
    </w:pPr>
  </w:style>
  <w:style w:type="paragraph" w:styleId="BlockText">
    <w:name w:val="Block Text"/>
    <w:basedOn w:val="Normal"/>
    <w:rsid w:val="00A078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78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782C"/>
    <w:rPr>
      <w:sz w:val="16"/>
      <w:vertAlign w:val="superscript"/>
    </w:rPr>
  </w:style>
  <w:style w:type="character" w:customStyle="1" w:styleId="Symbols">
    <w:name w:val="Symbols"/>
    <w:basedOn w:val="DefaultParagraphFont"/>
    <w:rsid w:val="00A0782C"/>
    <w:rPr>
      <w:rFonts w:ascii="Symbol" w:hAnsi="Symbol"/>
    </w:rPr>
  </w:style>
  <w:style w:type="character" w:customStyle="1" w:styleId="MenuOptions">
    <w:name w:val="Menu Options"/>
    <w:basedOn w:val="DefaultParagraphFont"/>
    <w:rsid w:val="00A078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782C"/>
    <w:rPr>
      <w:b/>
    </w:rPr>
  </w:style>
  <w:style w:type="character" w:customStyle="1" w:styleId="Underlined">
    <w:name w:val="Underlined"/>
    <w:basedOn w:val="DefaultParagraphFont"/>
    <w:rsid w:val="00A0782C"/>
    <w:rPr>
      <w:u w:val="single"/>
    </w:rPr>
  </w:style>
  <w:style w:type="paragraph" w:customStyle="1" w:styleId="TableBodyTextRight">
    <w:name w:val="Table Body Text Right"/>
    <w:basedOn w:val="TableBodyText"/>
    <w:rsid w:val="00A078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782C"/>
    <w:rPr>
      <w:sz w:val="18"/>
    </w:rPr>
  </w:style>
  <w:style w:type="paragraph" w:customStyle="1" w:styleId="BodySmallRight">
    <w:name w:val="Body Small Right"/>
    <w:basedOn w:val="BodyTextRight"/>
    <w:rsid w:val="00A0782C"/>
    <w:rPr>
      <w:sz w:val="18"/>
      <w:szCs w:val="18"/>
    </w:rPr>
  </w:style>
  <w:style w:type="paragraph" w:customStyle="1" w:styleId="MarginEdition">
    <w:name w:val="Margin Edition"/>
    <w:basedOn w:val="MarginNote"/>
    <w:rsid w:val="00A078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782C"/>
    <w:rPr>
      <w:sz w:val="2"/>
      <w:szCs w:val="2"/>
    </w:rPr>
  </w:style>
  <w:style w:type="character" w:customStyle="1" w:styleId="Small">
    <w:name w:val="Small"/>
    <w:basedOn w:val="DefaultParagraphFont"/>
    <w:rsid w:val="00A0782C"/>
    <w:rPr>
      <w:sz w:val="16"/>
    </w:rPr>
  </w:style>
  <w:style w:type="paragraph" w:customStyle="1" w:styleId="WideTable">
    <w:name w:val="Wide Table"/>
    <w:basedOn w:val="Normal"/>
    <w:rsid w:val="00A078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782C"/>
  </w:style>
  <w:style w:type="paragraph" w:styleId="Quote">
    <w:name w:val="Quote"/>
    <w:basedOn w:val="Heading1"/>
    <w:link w:val="QuoteChar"/>
    <w:qFormat/>
    <w:rsid w:val="00A078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78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782C"/>
    <w:pPr>
      <w:pageBreakBefore/>
    </w:pPr>
  </w:style>
  <w:style w:type="paragraph" w:customStyle="1" w:styleId="Border">
    <w:name w:val="Border"/>
    <w:basedOn w:val="Normal"/>
    <w:qFormat/>
    <w:rsid w:val="00A078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78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78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78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78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78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78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78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78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782C"/>
    <w:rPr>
      <w:u w:val="single"/>
    </w:rPr>
  </w:style>
  <w:style w:type="character" w:customStyle="1" w:styleId="BoldandItalics">
    <w:name w:val="Bold and Italics"/>
    <w:qFormat/>
    <w:rsid w:val="00A0782C"/>
    <w:rPr>
      <w:b/>
      <w:i/>
      <w:u w:val="none"/>
    </w:rPr>
  </w:style>
  <w:style w:type="paragraph" w:styleId="BalloonText">
    <w:name w:val="Balloon Text"/>
    <w:basedOn w:val="Normal"/>
    <w:link w:val="BalloonTextChar"/>
    <w:rsid w:val="00A078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78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78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78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78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78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782C"/>
    <w:pPr>
      <w:spacing w:before="0" w:after="0"/>
    </w:pPr>
  </w:style>
  <w:style w:type="paragraph" w:customStyle="1" w:styleId="BodyTextBold">
    <w:name w:val="Body Text Bold"/>
    <w:basedOn w:val="BodyText"/>
    <w:qFormat/>
    <w:rsid w:val="00A0782C"/>
    <w:rPr>
      <w:b/>
    </w:rPr>
  </w:style>
  <w:style w:type="character" w:styleId="Hyperlink">
    <w:name w:val="Hyperlink"/>
    <w:basedOn w:val="DefaultParagraphFont"/>
    <w:uiPriority w:val="99"/>
    <w:unhideWhenUsed/>
    <w:rsid w:val="000355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447</Words>
  <Characters>2835</Characters>
  <Application>Microsoft Office Word</Application>
  <DocSecurity>0</DocSecurity>
  <Lines>70</Lines>
  <Paragraphs>57</Paragraphs>
  <ScaleCrop>false</ScaleCrop>
  <Company>Author-it Software Corporation Ltd.</Company>
  <LinksUpToDate>false</LinksUpToDate>
  <CharactersWithSpaces>3225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CPPREP4005 Prepare to work with real estate trust accounts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2022-12-19T06:26:00Z</dcterms:created>
  <dcterms:modified xsi:type="dcterms:W3CDTF">2022-12-19T06:26:00Z</dcterms:modified>
</cp:coreProperties>
</file>