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FD6" w:rsidP="00551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CPPREP4003 Access and interpret legislation in real estate</w:t>
      </w:r>
      <w:r>
        <w:fldChar w:fldCharType="end"/>
      </w:r>
    </w:p>
    <w:p w:rsidR="00551FD6" w:rsidP="00551FD6">
      <w:pPr>
        <w:pStyle w:val="Version"/>
        <w:sectPr w:rsidSect="004C2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51B" w:rsidP="004C251B">
      <w:pPr>
        <w:pStyle w:val="SuperHeading"/>
      </w:pPr>
      <w:r w:rsidRPr="004C251B">
        <w:t>Assessment Requirements for CPPREP4003 Access and interpret legislation in real estate</w:t>
      </w:r>
    </w:p>
    <w:p w:rsidR="00000000" w:rsidRPr="004C251B" w:rsidP="004C251B">
      <w:pPr>
        <w:pStyle w:val="Heading1"/>
      </w:pPr>
      <w:bookmarkStart w:id="1" w:name="O_1020551"/>
      <w:bookmarkEnd w:id="1"/>
      <w:r w:rsidRPr="004C2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2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51B">
            <w:pPr>
              <w:pStyle w:val="BodyText"/>
              <w:rPr>
                <w:lang w:val="en-NZ"/>
              </w:rPr>
            </w:pPr>
            <w:r w:rsidRPr="004C251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51B" w:rsidP="004C251B">
            <w:pPr>
              <w:pStyle w:val="BodyText"/>
            </w:pPr>
            <w:r w:rsidRPr="004C251B">
              <w:t>This version first released with CPP Property Services Training Package Release 8.0.</w:t>
            </w:r>
          </w:p>
          <w:p w:rsidR="00000000" w:rsidRPr="004C251B" w:rsidP="004C251B">
            <w:pPr>
              <w:pStyle w:val="BodyText"/>
            </w:pPr>
            <w:r w:rsidRPr="004C251B">
              <w:t>Supersedes and is equivalent to CPPDSM4002A Apply knowledge of state or territory legislative and regulatory framework to complete agency work.</w:t>
            </w:r>
          </w:p>
          <w:p w:rsidR="00000000" w:rsidRPr="004C251B" w:rsidP="004C251B">
            <w:pPr>
              <w:pStyle w:val="BodyText"/>
            </w:pPr>
            <w:r w:rsidRPr="004C251B">
              <w:t>Updated to the Standards for Training Packages.</w:t>
            </w:r>
          </w:p>
        </w:tc>
      </w:tr>
    </w:tbl>
    <w:p w:rsidR="00000000" w:rsidRPr="004C251B" w:rsidP="004C251B">
      <w:pPr>
        <w:pStyle w:val="BodyText"/>
      </w:pPr>
    </w:p>
    <w:p w:rsidR="00000000" w:rsidRPr="004C251B" w:rsidP="004C251B">
      <w:pPr>
        <w:pStyle w:val="AllowPageBreak"/>
      </w:pPr>
    </w:p>
    <w:p w:rsidR="00000000" w:rsidRPr="004C251B" w:rsidP="004C251B">
      <w:pPr>
        <w:pStyle w:val="Heading1"/>
      </w:pPr>
      <w:bookmarkStart w:id="2" w:name="O_1020554"/>
      <w:bookmarkEnd w:id="2"/>
      <w:r w:rsidRPr="004C251B">
        <w:t>Performance Evidence</w:t>
      </w:r>
    </w:p>
    <w:p w:rsidR="00000000" w:rsidRPr="004C251B" w:rsidP="00551FD6">
      <w:pPr>
        <w:pStyle w:val="BodyText"/>
      </w:pPr>
      <w:r w:rsidRPr="004C251B">
        <w:t>To demonstrate compete</w:t>
      </w:r>
      <w:r w:rsidRPr="004C251B">
        <w:t>ncy in this unit, a person must:</w:t>
      </w:r>
    </w:p>
    <w:p w:rsidR="00000000" w:rsidRPr="004C251B" w:rsidP="004C251B">
      <w:pPr>
        <w:pStyle w:val="ListBullet"/>
      </w:pPr>
      <w:r w:rsidRPr="004C251B">
        <w:t>access and analyse at least two pieces of legislation that apply to real estate in the state or territory of operation and provide a report to include:</w:t>
      </w:r>
    </w:p>
    <w:p w:rsidR="00000000" w:rsidRPr="004C251B" w:rsidP="004C251B">
      <w:pPr>
        <w:pStyle w:val="ListBullet2"/>
      </w:pPr>
      <w:r w:rsidRPr="004C251B">
        <w:t>full titles of legislation</w:t>
      </w:r>
    </w:p>
    <w:p w:rsidR="00000000" w:rsidRPr="004C251B" w:rsidP="004C251B">
      <w:pPr>
        <w:pStyle w:val="ListBullet2"/>
      </w:pPr>
      <w:r w:rsidRPr="004C251B">
        <w:t>the purpose of each of the pieces of chosen legislation</w:t>
      </w:r>
    </w:p>
    <w:p w:rsidR="00000000" w:rsidRPr="004C251B" w:rsidP="004C251B">
      <w:pPr>
        <w:pStyle w:val="ListBullet2"/>
      </w:pPr>
      <w:r w:rsidRPr="004C251B">
        <w:t>the key components of the pieces of chosen legislation</w:t>
      </w:r>
    </w:p>
    <w:p w:rsidR="00000000" w:rsidRPr="004C251B" w:rsidP="004C251B">
      <w:pPr>
        <w:pStyle w:val="ListBullet2"/>
      </w:pPr>
      <w:r w:rsidRPr="004C251B">
        <w:t>two breaches specified within the legislation and the penalties for each breach</w:t>
      </w:r>
    </w:p>
    <w:p w:rsidR="00000000" w:rsidRPr="004C251B" w:rsidP="004C251B">
      <w:pPr>
        <w:pStyle w:val="ListBullet2"/>
      </w:pPr>
      <w:r w:rsidRPr="004C251B">
        <w:t>how to identify the currency of the chosen legislation</w:t>
      </w:r>
    </w:p>
    <w:p w:rsidR="00000000" w:rsidRPr="004C251B" w:rsidP="004C251B">
      <w:pPr>
        <w:pStyle w:val="ListBullet"/>
      </w:pPr>
      <w:r w:rsidRPr="004C251B">
        <w:t>explain t</w:t>
      </w:r>
      <w:r w:rsidRPr="004C251B">
        <w:t>he process for addressing discrepancies in the application of legislation for personal or agency practice.</w:t>
      </w:r>
    </w:p>
    <w:p w:rsidR="00000000" w:rsidRPr="004C251B" w:rsidP="00551FD6">
      <w:pPr>
        <w:pStyle w:val="BodyText"/>
      </w:pPr>
      <w:r w:rsidRPr="004C251B">
        <w:t>In doing this, the person must meet the performance criteria for this unit.</w:t>
      </w:r>
    </w:p>
    <w:p w:rsidR="00000000" w:rsidRPr="004C251B" w:rsidP="004C251B">
      <w:pPr>
        <w:pStyle w:val="Heading1"/>
      </w:pPr>
      <w:bookmarkStart w:id="3" w:name="O_1020553"/>
      <w:bookmarkEnd w:id="3"/>
      <w:r w:rsidRPr="004C251B">
        <w:t>Knowledge Evidence</w:t>
      </w:r>
    </w:p>
    <w:p w:rsidR="00000000" w:rsidRPr="004C251B" w:rsidP="00551FD6">
      <w:pPr>
        <w:pStyle w:val="BodyText"/>
      </w:pPr>
      <w:r w:rsidRPr="004C251B">
        <w:t>To be competent in this unit, a per</w:t>
      </w:r>
      <w:r w:rsidRPr="004C251B">
        <w:t>son must demonstrate knowledge of:</w:t>
      </w:r>
    </w:p>
    <w:p w:rsidR="00000000" w:rsidRPr="004C251B" w:rsidP="004C251B">
      <w:pPr>
        <w:pStyle w:val="ListBullet"/>
      </w:pPr>
      <w:r w:rsidRPr="004C251B">
        <w:t>sources of legislation applying to real estate operations in the state or territory of operation</w:t>
      </w:r>
    </w:p>
    <w:p w:rsidR="00000000" w:rsidRPr="004C251B" w:rsidP="004C251B">
      <w:pPr>
        <w:pStyle w:val="ListBullet"/>
      </w:pPr>
      <w:r w:rsidRPr="004C251B">
        <w:t>legal framework in Australia and the state or territory of operation:</w:t>
      </w:r>
    </w:p>
    <w:p w:rsidR="00000000" w:rsidRPr="004C251B" w:rsidP="004C251B">
      <w:pPr>
        <w:pStyle w:val="ListBullet2"/>
      </w:pPr>
      <w:r w:rsidRPr="004C251B">
        <w:t>common law</w:t>
      </w:r>
    </w:p>
    <w:p w:rsidR="00000000" w:rsidRPr="004C251B" w:rsidP="004C251B">
      <w:pPr>
        <w:pStyle w:val="ListBullet2"/>
      </w:pPr>
      <w:r w:rsidRPr="004C251B">
        <w:t>contract law</w:t>
      </w:r>
    </w:p>
    <w:p w:rsidR="00000000" w:rsidRPr="004C251B" w:rsidP="004C251B">
      <w:pPr>
        <w:pStyle w:val="ListBullet2"/>
      </w:pPr>
      <w:r w:rsidRPr="004C251B">
        <w:t>equity law</w:t>
      </w:r>
    </w:p>
    <w:p w:rsidR="00000000" w:rsidRPr="004C251B" w:rsidP="004C251B">
      <w:pPr>
        <w:pStyle w:val="ListBullet2"/>
      </w:pPr>
      <w:r w:rsidRPr="004C251B">
        <w:t>statute law</w:t>
      </w:r>
    </w:p>
    <w:p w:rsidR="00000000" w:rsidRPr="004C251B" w:rsidP="004C251B">
      <w:pPr>
        <w:pStyle w:val="ListBullet"/>
      </w:pPr>
      <w:r w:rsidRPr="004C251B">
        <w:t>key components of legislation:</w:t>
      </w:r>
    </w:p>
    <w:p w:rsidR="00000000" w:rsidRPr="004C251B" w:rsidP="004C251B">
      <w:pPr>
        <w:pStyle w:val="ListBullet2"/>
      </w:pPr>
      <w:r w:rsidRPr="004C251B">
        <w:t>Acts</w:t>
      </w:r>
    </w:p>
    <w:p w:rsidR="00000000" w:rsidRPr="004C251B" w:rsidP="004C251B">
      <w:pPr>
        <w:pStyle w:val="ListBullet2"/>
      </w:pPr>
      <w:r w:rsidRPr="004C251B">
        <w:t>regulations</w:t>
      </w:r>
    </w:p>
    <w:p w:rsidR="00000000" w:rsidRPr="004C251B" w:rsidP="004C251B">
      <w:pPr>
        <w:pStyle w:val="ListBullet2"/>
      </w:pPr>
      <w:r w:rsidRPr="004C251B">
        <w:t>amendments</w:t>
      </w:r>
    </w:p>
    <w:p w:rsidR="00000000" w:rsidRPr="004C251B" w:rsidP="004C251B">
      <w:pPr>
        <w:pStyle w:val="ListBullet2"/>
      </w:pPr>
      <w:r w:rsidRPr="004C251B">
        <w:t>mandatory codes of practice</w:t>
      </w:r>
    </w:p>
    <w:p w:rsidR="00000000" w:rsidRPr="004C251B" w:rsidP="004C251B">
      <w:pPr>
        <w:pStyle w:val="ListBullet2"/>
      </w:pPr>
      <w:r w:rsidRPr="004C251B">
        <w:t>schedules</w:t>
      </w:r>
    </w:p>
    <w:p w:rsidR="00000000" w:rsidRPr="004C251B" w:rsidP="004C251B">
      <w:pPr>
        <w:pStyle w:val="ListBullet2"/>
      </w:pPr>
      <w:r w:rsidRPr="004C251B">
        <w:t>appendices</w:t>
      </w:r>
    </w:p>
    <w:p w:rsidR="00000000" w:rsidRPr="004C251B" w:rsidP="004C251B">
      <w:pPr>
        <w:pStyle w:val="ListBullet"/>
      </w:pPr>
      <w:r w:rsidRPr="004C251B">
        <w:t>structure of legislation:</w:t>
      </w:r>
    </w:p>
    <w:p w:rsidR="00000000" w:rsidRPr="004C251B" w:rsidP="004C251B">
      <w:pPr>
        <w:pStyle w:val="ListBullet2"/>
      </w:pPr>
      <w:r w:rsidRPr="004C251B">
        <w:t>long title</w:t>
      </w:r>
    </w:p>
    <w:p w:rsidR="00000000" w:rsidRPr="004C251B" w:rsidP="004C251B">
      <w:pPr>
        <w:pStyle w:val="ListBullet2"/>
      </w:pPr>
      <w:r w:rsidRPr="004C251B">
        <w:t>short title</w:t>
      </w:r>
    </w:p>
    <w:p w:rsidR="00000000" w:rsidRPr="004C251B" w:rsidP="004C251B">
      <w:pPr>
        <w:pStyle w:val="ListBullet2"/>
      </w:pPr>
      <w:r w:rsidRPr="004C251B">
        <w:t>commencement</w:t>
      </w:r>
    </w:p>
    <w:p w:rsidR="00000000" w:rsidRPr="004C251B" w:rsidP="004C251B">
      <w:pPr>
        <w:pStyle w:val="ListBullet2"/>
      </w:pPr>
      <w:r w:rsidRPr="004C251B">
        <w:t>application</w:t>
      </w:r>
    </w:p>
    <w:p w:rsidR="00000000" w:rsidRPr="004C251B" w:rsidP="004C251B">
      <w:pPr>
        <w:pStyle w:val="ListBullet2"/>
      </w:pPr>
      <w:r w:rsidRPr="004C251B">
        <w:t>contents</w:t>
      </w:r>
    </w:p>
    <w:p w:rsidR="00000000" w:rsidRPr="004C251B" w:rsidP="004C251B">
      <w:pPr>
        <w:pStyle w:val="ListBullet2"/>
      </w:pPr>
      <w:r w:rsidRPr="004C251B">
        <w:t>definitions</w:t>
      </w:r>
    </w:p>
    <w:p w:rsidR="00000000" w:rsidRPr="004C251B" w:rsidP="004C251B">
      <w:pPr>
        <w:pStyle w:val="ListBullet2"/>
      </w:pPr>
      <w:r w:rsidRPr="004C251B">
        <w:t>headings</w:t>
      </w:r>
    </w:p>
    <w:p w:rsidR="00000000" w:rsidRPr="004C251B" w:rsidP="004C251B">
      <w:pPr>
        <w:pStyle w:val="ListBullet2"/>
      </w:pPr>
      <w:r w:rsidRPr="004C251B">
        <w:t>parts</w:t>
      </w:r>
    </w:p>
    <w:p w:rsidR="00000000" w:rsidRPr="004C251B" w:rsidP="004C251B">
      <w:pPr>
        <w:pStyle w:val="ListBullet2"/>
      </w:pPr>
      <w:r w:rsidRPr="004C251B">
        <w:t>divisions and subdivisions</w:t>
      </w:r>
    </w:p>
    <w:p w:rsidR="00000000" w:rsidRPr="004C251B" w:rsidP="004C251B">
      <w:pPr>
        <w:pStyle w:val="ListBullet2"/>
      </w:pPr>
      <w:r w:rsidRPr="004C251B">
        <w:t>clauses and subclauses</w:t>
      </w:r>
    </w:p>
    <w:p w:rsidR="00000000" w:rsidRPr="004C251B" w:rsidP="004C251B">
      <w:pPr>
        <w:pStyle w:val="ListBullet2"/>
      </w:pPr>
      <w:r w:rsidRPr="004C251B">
        <w:t>schedules and appendices</w:t>
      </w:r>
    </w:p>
    <w:p w:rsidR="00000000" w:rsidRPr="004C251B" w:rsidP="004C251B">
      <w:pPr>
        <w:pStyle w:val="ListBullet"/>
      </w:pPr>
      <w:r w:rsidRPr="004C251B">
        <w:t>legislation relevant to real estate in the state or territory of operation and roles, including Commonwealth and state or territory legislation:</w:t>
      </w:r>
    </w:p>
    <w:p w:rsidR="00000000" w:rsidRPr="004C251B" w:rsidP="004C251B">
      <w:pPr>
        <w:pStyle w:val="ListBullet2"/>
      </w:pPr>
      <w:r w:rsidRPr="004C251B">
        <w:t>real estate agents, licensing and conduct</w:t>
      </w:r>
    </w:p>
    <w:p w:rsidR="00000000" w:rsidRPr="004C251B" w:rsidP="004C251B">
      <w:pPr>
        <w:pStyle w:val="ListBullet2"/>
      </w:pPr>
      <w:r w:rsidRPr="004C251B">
        <w:t xml:space="preserve">property sales and </w:t>
      </w:r>
      <w:r w:rsidRPr="004C251B">
        <w:t>management</w:t>
      </w:r>
    </w:p>
    <w:p w:rsidR="00000000" w:rsidRPr="004C251B" w:rsidP="004C251B">
      <w:pPr>
        <w:pStyle w:val="ListBullet2"/>
      </w:pPr>
      <w:r w:rsidRPr="004C251B">
        <w:t>privacy</w:t>
      </w:r>
    </w:p>
    <w:p w:rsidR="00000000" w:rsidRPr="004C251B" w:rsidP="004C251B">
      <w:pPr>
        <w:pStyle w:val="ListBullet2"/>
      </w:pPr>
      <w:r w:rsidRPr="004C251B">
        <w:t>fair trading and consumer protection</w:t>
      </w:r>
    </w:p>
    <w:p w:rsidR="00000000" w:rsidRPr="004C251B" w:rsidP="004C251B">
      <w:pPr>
        <w:pStyle w:val="ListBullet2"/>
      </w:pPr>
      <w:r w:rsidRPr="004C251B">
        <w:t>anti-discrimination and equal opportunity</w:t>
      </w:r>
    </w:p>
    <w:p w:rsidR="00000000" w:rsidRPr="004C251B" w:rsidP="004C251B">
      <w:pPr>
        <w:pStyle w:val="ListBullet2"/>
      </w:pPr>
      <w:r w:rsidRPr="004C251B">
        <w:t>work health and safety/occupational health and safety</w:t>
      </w:r>
    </w:p>
    <w:p w:rsidR="00000000" w:rsidRPr="004C251B" w:rsidP="004C251B">
      <w:pPr>
        <w:pStyle w:val="ListBullet2"/>
      </w:pPr>
      <w:r w:rsidRPr="004C251B">
        <w:t>environmental (sustainability)</w:t>
      </w:r>
    </w:p>
    <w:p w:rsidR="00000000" w:rsidRPr="004C251B" w:rsidP="004C251B">
      <w:pPr>
        <w:pStyle w:val="ListBullet2"/>
      </w:pPr>
      <w:r w:rsidRPr="004C251B">
        <w:t>employment and industrial relations</w:t>
      </w:r>
    </w:p>
    <w:p w:rsidR="00000000" w:rsidRPr="004C251B" w:rsidP="004C251B">
      <w:pPr>
        <w:pStyle w:val="ListBullet2"/>
      </w:pPr>
      <w:r w:rsidRPr="004C251B">
        <w:t>planning and zoning</w:t>
      </w:r>
    </w:p>
    <w:p w:rsidR="00000000" w:rsidRPr="004C251B" w:rsidP="004C251B">
      <w:pPr>
        <w:pStyle w:val="ListBullet2"/>
      </w:pPr>
      <w:r w:rsidRPr="004C251B">
        <w:t>foreign investment</w:t>
      </w:r>
    </w:p>
    <w:p w:rsidR="00000000" w:rsidRPr="004C251B" w:rsidP="004C251B">
      <w:pPr>
        <w:pStyle w:val="ListBullet2"/>
      </w:pPr>
      <w:r w:rsidRPr="004C251B">
        <w:t>secret commissions</w:t>
      </w:r>
    </w:p>
    <w:p w:rsidR="00000000" w:rsidRPr="004C251B" w:rsidP="004C251B">
      <w:pPr>
        <w:pStyle w:val="ListBullet"/>
      </w:pPr>
      <w:r w:rsidRPr="004C251B">
        <w:t>interrelationship between pieces of legislation</w:t>
      </w:r>
    </w:p>
    <w:p w:rsidR="00000000" w:rsidRPr="004C251B" w:rsidP="004C251B">
      <w:pPr>
        <w:pStyle w:val="ListBullet"/>
      </w:pPr>
      <w:r w:rsidRPr="004C251B">
        <w:t>key principles for reading and interpreting legislation:</w:t>
      </w:r>
    </w:p>
    <w:p w:rsidR="00000000" w:rsidRPr="004C251B" w:rsidP="004C251B">
      <w:pPr>
        <w:pStyle w:val="ListBullet2"/>
      </w:pPr>
      <w:r w:rsidRPr="004C251B">
        <w:t>aids to interpret legislation:</w:t>
      </w:r>
    </w:p>
    <w:p w:rsidR="00000000" w:rsidRPr="004C251B" w:rsidP="004C251B">
      <w:pPr>
        <w:pStyle w:val="ListBullet3"/>
      </w:pPr>
      <w:r w:rsidRPr="004C251B">
        <w:t>external: interpretations of legislation, Acts, Hansard/parliamentary papers, l</w:t>
      </w:r>
      <w:r w:rsidRPr="004C251B">
        <w:t>egal dictionaries and previous judicial interpretations</w:t>
      </w:r>
    </w:p>
    <w:p w:rsidR="00000000" w:rsidRPr="004C251B" w:rsidP="004C251B">
      <w:pPr>
        <w:pStyle w:val="ListBullet3"/>
      </w:pPr>
      <w:r w:rsidRPr="004C251B">
        <w:t>internal: objectives, legislation to be accessed as a whole, definitions and interpretation sections in legislation, headings and margin notes</w:t>
      </w:r>
    </w:p>
    <w:p w:rsidR="00000000" w:rsidRPr="004C251B" w:rsidP="004C251B">
      <w:pPr>
        <w:pStyle w:val="ListBullet2"/>
      </w:pPr>
      <w:r w:rsidRPr="004C251B">
        <w:t>language conventions and expressions:</w:t>
      </w:r>
    </w:p>
    <w:p w:rsidR="00000000" w:rsidRPr="004C251B" w:rsidP="004C251B">
      <w:pPr>
        <w:pStyle w:val="ListBullet3"/>
      </w:pPr>
      <w:r w:rsidRPr="004C251B">
        <w:t>and/or</w:t>
      </w:r>
    </w:p>
    <w:p w:rsidR="00000000" w:rsidRPr="004C251B" w:rsidP="004C251B">
      <w:pPr>
        <w:pStyle w:val="ListBullet3"/>
      </w:pPr>
      <w:r w:rsidRPr="004C251B">
        <w:t>gender</w:t>
      </w:r>
    </w:p>
    <w:p w:rsidR="00000000" w:rsidRPr="004C251B" w:rsidP="004C251B">
      <w:pPr>
        <w:pStyle w:val="ListBullet3"/>
      </w:pPr>
      <w:r w:rsidRPr="004C251B">
        <w:t>hierarchy</w:t>
      </w:r>
    </w:p>
    <w:p w:rsidR="00000000" w:rsidRPr="004C251B" w:rsidP="004C251B">
      <w:pPr>
        <w:pStyle w:val="ListBullet3"/>
      </w:pPr>
      <w:r w:rsidRPr="004C251B">
        <w:t>includes</w:t>
      </w:r>
    </w:p>
    <w:p w:rsidR="00000000" w:rsidRPr="004C251B" w:rsidP="004C251B">
      <w:pPr>
        <w:pStyle w:val="ListBullet3"/>
      </w:pPr>
      <w:r w:rsidRPr="004C251B">
        <w:t>may, should and must</w:t>
      </w:r>
    </w:p>
    <w:p w:rsidR="00000000" w:rsidRPr="004C251B" w:rsidP="004C251B">
      <w:pPr>
        <w:pStyle w:val="ListBullet2"/>
      </w:pPr>
      <w:r w:rsidRPr="004C251B">
        <w:t>reading rules:</w:t>
      </w:r>
    </w:p>
    <w:p w:rsidR="00000000" w:rsidRPr="004C251B" w:rsidP="004C251B">
      <w:pPr>
        <w:pStyle w:val="ListBullet3"/>
      </w:pPr>
      <w:r w:rsidRPr="004C251B">
        <w:t>context</w:t>
      </w:r>
    </w:p>
    <w:p w:rsidR="00000000" w:rsidRPr="004C251B" w:rsidP="004C251B">
      <w:pPr>
        <w:pStyle w:val="ListBullet3"/>
      </w:pPr>
      <w:r w:rsidRPr="004C251B">
        <w:t>golden</w:t>
      </w:r>
    </w:p>
    <w:p w:rsidR="00000000" w:rsidRPr="004C251B" w:rsidP="004C251B">
      <w:pPr>
        <w:pStyle w:val="ListBullet3"/>
      </w:pPr>
      <w:r w:rsidRPr="004C251B">
        <w:t>literal</w:t>
      </w:r>
    </w:p>
    <w:p w:rsidR="00000000" w:rsidRPr="004C251B" w:rsidP="004C251B">
      <w:pPr>
        <w:pStyle w:val="ListBullet3"/>
      </w:pPr>
      <w:r w:rsidRPr="004C251B">
        <w:t>mischief</w:t>
      </w:r>
    </w:p>
    <w:p w:rsidR="00000000" w:rsidRPr="004C251B" w:rsidP="004C251B">
      <w:pPr>
        <w:pStyle w:val="ListBullet3"/>
      </w:pPr>
      <w:r w:rsidRPr="004C251B">
        <w:t>purposive</w:t>
      </w:r>
    </w:p>
    <w:p w:rsidR="00000000" w:rsidRPr="004C251B" w:rsidP="004C251B">
      <w:pPr>
        <w:pStyle w:val="ListBullet2"/>
      </w:pPr>
      <w:r w:rsidRPr="004C251B">
        <w:t>express mention of one thing to the exclusion of another</w:t>
      </w:r>
    </w:p>
    <w:p w:rsidR="00000000" w:rsidRPr="004C251B" w:rsidP="004C251B">
      <w:pPr>
        <w:pStyle w:val="ListBullet2"/>
      </w:pPr>
      <w:r w:rsidRPr="004C251B">
        <w:t>words interpreted through their connection with other words</w:t>
      </w:r>
    </w:p>
    <w:p w:rsidR="00000000" w:rsidRPr="004C251B" w:rsidP="004C251B">
      <w:pPr>
        <w:pStyle w:val="ListBullet2"/>
      </w:pPr>
      <w:r w:rsidRPr="004C251B">
        <w:t xml:space="preserve">words with the same meaning </w:t>
      </w:r>
    </w:p>
    <w:p w:rsidR="00000000" w:rsidRPr="004C251B" w:rsidP="004C251B">
      <w:pPr>
        <w:pStyle w:val="ListBullet"/>
      </w:pPr>
      <w:r w:rsidRPr="004C251B">
        <w:t>regulators relevant to real estate in the state or territory of operation and their role</w:t>
      </w:r>
    </w:p>
    <w:p w:rsidR="00000000" w:rsidRPr="004C251B" w:rsidP="004C251B">
      <w:pPr>
        <w:pStyle w:val="ListBullet"/>
      </w:pPr>
      <w:r w:rsidRPr="004C251B">
        <w:t>breaches of legislation and penalties in the state or territory of operation</w:t>
      </w:r>
    </w:p>
    <w:p w:rsidR="00000000" w:rsidRPr="004C251B" w:rsidP="004C251B">
      <w:pPr>
        <w:pStyle w:val="ListBullet"/>
      </w:pPr>
      <w:r w:rsidRPr="004C251B">
        <w:t>value of penalty units in the state or territory of operation</w:t>
      </w:r>
    </w:p>
    <w:p w:rsidR="00000000" w:rsidRPr="004C251B" w:rsidP="004C251B">
      <w:pPr>
        <w:pStyle w:val="ListBullet"/>
      </w:pPr>
      <w:r w:rsidRPr="004C251B">
        <w:t>relationship between real es</w:t>
      </w:r>
      <w:r w:rsidRPr="004C251B">
        <w:t xml:space="preserve">tate codes of practice and codes of conduct and legislation applying to real estate operations </w:t>
      </w:r>
    </w:p>
    <w:p w:rsidR="00000000" w:rsidRPr="004C251B" w:rsidP="004C251B">
      <w:pPr>
        <w:pStyle w:val="ListBullet"/>
      </w:pPr>
      <w:r w:rsidRPr="004C251B">
        <w:t>responsibility of persons working in real estate to maintain current knowledge of legislation</w:t>
      </w:r>
    </w:p>
    <w:p w:rsidR="00000000" w:rsidRPr="004C251B" w:rsidP="004C251B">
      <w:pPr>
        <w:pStyle w:val="ListBullet"/>
      </w:pPr>
      <w:r w:rsidRPr="004C251B">
        <w:t>techniques to identify and track changes to legislation, including</w:t>
      </w:r>
      <w:r w:rsidRPr="004C251B">
        <w:t xml:space="preserve"> point-in-time versions and current versions</w:t>
      </w:r>
    </w:p>
    <w:p w:rsidR="00000000" w:rsidRPr="004C251B" w:rsidP="004C251B">
      <w:pPr>
        <w:pStyle w:val="ListBullet"/>
      </w:pPr>
      <w:r w:rsidRPr="004C251B">
        <w:t>sources of advice about legislation applying to real estate in the state or territory of operation</w:t>
      </w:r>
    </w:p>
    <w:p w:rsidR="00000000" w:rsidRPr="004C251B" w:rsidP="004C251B">
      <w:pPr>
        <w:pStyle w:val="ListBullet"/>
      </w:pPr>
      <w:r w:rsidRPr="004C251B">
        <w:t>processes to respond to concerns, conflicts and discrepancies relating to applying legislation to real estate ac</w:t>
      </w:r>
      <w:r w:rsidRPr="004C251B">
        <w:t>tivities in the state or territory of operation</w:t>
      </w:r>
    </w:p>
    <w:p w:rsidR="00000000" w:rsidRPr="004C251B" w:rsidP="004C251B">
      <w:pPr>
        <w:pStyle w:val="ListBullet"/>
      </w:pPr>
      <w:r w:rsidRPr="004C251B">
        <w:t>communication strategies for responding to client complaints.</w:t>
      </w:r>
    </w:p>
    <w:p w:rsidR="00000000" w:rsidRPr="004C251B" w:rsidP="004C251B">
      <w:pPr>
        <w:pStyle w:val="AllowPageBreak"/>
      </w:pPr>
    </w:p>
    <w:p w:rsidR="00000000" w:rsidRPr="004C251B" w:rsidP="004C251B">
      <w:pPr>
        <w:pStyle w:val="Heading1"/>
      </w:pPr>
      <w:bookmarkStart w:id="4" w:name="O_1020552"/>
      <w:bookmarkEnd w:id="4"/>
      <w:r w:rsidRPr="004C251B">
        <w:t>Assessment Conditions</w:t>
      </w:r>
    </w:p>
    <w:p w:rsidR="00000000" w:rsidRPr="004C251B" w:rsidP="00551FD6">
      <w:pPr>
        <w:pStyle w:val="BodyText"/>
      </w:pPr>
      <w:r w:rsidRPr="004C251B">
        <w:t>Assessors must satisfy the requirements for assessors listed in the Standards for Registered Training Org</w:t>
      </w:r>
      <w:r w:rsidRPr="004C251B">
        <w:t xml:space="preserve">anisations. </w:t>
      </w:r>
    </w:p>
    <w:p w:rsidR="00000000" w:rsidRPr="004C251B" w:rsidP="00551FD6">
      <w:pPr>
        <w:pStyle w:val="BodyText"/>
      </w:pPr>
      <w:r w:rsidRPr="004C251B">
        <w:t xml:space="preserve">Assessment must be conducted in the workplace or in a simulated workplace environment. </w:t>
      </w:r>
    </w:p>
    <w:p w:rsidR="00000000" w:rsidRPr="004C251B" w:rsidP="00551FD6">
      <w:pPr>
        <w:pStyle w:val="BodyText"/>
      </w:pPr>
      <w:r w:rsidRPr="004C251B">
        <w:t>Assessors are responsible for ensuring that the person demonstrating competency has access to:</w:t>
      </w:r>
    </w:p>
    <w:p w:rsidR="00000000" w:rsidRPr="004C251B" w:rsidP="004C251B">
      <w:pPr>
        <w:pStyle w:val="ListBullet"/>
      </w:pPr>
      <w:r w:rsidRPr="004C251B">
        <w:t>online databases for legislation relevant to real estate in the state or territory of operation</w:t>
      </w:r>
    </w:p>
    <w:p w:rsidR="00000000" w:rsidRPr="004C251B" w:rsidP="004C251B">
      <w:pPr>
        <w:pStyle w:val="ListBullet"/>
      </w:pPr>
      <w:r w:rsidRPr="004C251B">
        <w:t>websites and online databases for regulators relevant to real estate activities in the state or territory of operation</w:t>
      </w:r>
    </w:p>
    <w:p w:rsidR="00000000" w:rsidRPr="004C251B" w:rsidP="00551FD6">
      <w:pPr>
        <w:pStyle w:val="BodyText"/>
      </w:pPr>
      <w:r w:rsidRPr="004C251B">
        <w:t>current legislation and legislation guida</w:t>
      </w:r>
      <w:r w:rsidRPr="004C251B">
        <w:t>nce material relevant to real estate in the state or territory of operation, including legislation for consumer protection.</w:t>
      </w:r>
    </w:p>
    <w:p w:rsidR="00000000" w:rsidRPr="004C251B" w:rsidP="004C251B">
      <w:pPr>
        <w:pStyle w:val="Heading1"/>
      </w:pPr>
      <w:bookmarkStart w:id="5" w:name="O_1020550"/>
      <w:bookmarkEnd w:id="5"/>
      <w:r w:rsidRPr="004C251B">
        <w:t>Links</w:t>
      </w:r>
    </w:p>
    <w:p w:rsidR="00000000" w:rsidRPr="004C251B" w:rsidP="00551FD6">
      <w:pPr>
        <w:pStyle w:val="BodyText"/>
      </w:pPr>
      <w:r w:rsidRPr="004C251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1C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C251B" w:rsidP="004C251B"/>
    <w:sectPr w:rsidSect="004C25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1B" w:rsidRPr="00551FD6" w:rsidP="00551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6" w:rsidP="004C2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FD6" w:rsidP="004C2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51FD6" w:rsidP="004C2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51B" w:rsidRPr="00551FD6" w:rsidP="00551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6" w:rsidRPr="002D2AF8" w:rsidP="004C2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CPPREP4003 Access and interpret legislation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51FD6" w:rsidP="004C2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E2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809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80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51B"/>
  </w:style>
  <w:style w:type="character" w:customStyle="1" w:styleId="Heading1Char">
    <w:name w:val="Heading 1 Char"/>
    <w:basedOn w:val="DefaultParagraphFont"/>
    <w:link w:val="Heading1"/>
    <w:rsid w:val="004C2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5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25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2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25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2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251B"/>
    <w:rPr>
      <w:b/>
      <w:spacing w:val="0"/>
    </w:rPr>
  </w:style>
  <w:style w:type="paragraph" w:customStyle="1" w:styleId="SuperTitle">
    <w:name w:val="SuperTitle"/>
    <w:basedOn w:val="Title"/>
    <w:rsid w:val="004C2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51B"/>
    <w:rPr>
      <w:i/>
    </w:rPr>
  </w:style>
  <w:style w:type="paragraph" w:styleId="Caption">
    <w:name w:val="caption"/>
    <w:basedOn w:val="BodyText"/>
    <w:next w:val="Normal"/>
    <w:qFormat/>
    <w:rsid w:val="004C2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51B"/>
  </w:style>
  <w:style w:type="paragraph" w:styleId="TableofFigures">
    <w:name w:val="table of figures"/>
    <w:basedOn w:val="Normal"/>
    <w:next w:val="Normal"/>
    <w:semiHidden/>
    <w:rsid w:val="004C2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5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251B"/>
    <w:rPr>
      <w:rFonts w:ascii="Wingdings" w:hAnsi="Wingdings"/>
    </w:rPr>
  </w:style>
  <w:style w:type="paragraph" w:customStyle="1" w:styleId="TableHeading">
    <w:name w:val="Table Heading"/>
    <w:basedOn w:val="HeadingBase"/>
    <w:rsid w:val="004C2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51B"/>
    <w:rPr>
      <w:color w:val="0033CC"/>
      <w:u w:val="none"/>
    </w:rPr>
  </w:style>
  <w:style w:type="paragraph" w:customStyle="1" w:styleId="BodyTextRight">
    <w:name w:val="Body Text Right"/>
    <w:basedOn w:val="BodyText"/>
    <w:rsid w:val="004C2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5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51B"/>
    <w:rPr>
      <w:sz w:val="32"/>
    </w:rPr>
  </w:style>
  <w:style w:type="paragraph" w:customStyle="1" w:styleId="HeadingProcedure">
    <w:name w:val="Heading Procedure"/>
    <w:basedOn w:val="HeadingBase"/>
    <w:next w:val="Normal"/>
    <w:rsid w:val="004C2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51B"/>
    <w:pPr>
      <w:spacing w:before="60" w:after="60"/>
    </w:pPr>
  </w:style>
  <w:style w:type="paragraph" w:styleId="ListContinue">
    <w:name w:val="List Continue"/>
    <w:basedOn w:val="List"/>
    <w:rsid w:val="004C251B"/>
    <w:pPr>
      <w:ind w:firstLine="0"/>
    </w:pPr>
  </w:style>
  <w:style w:type="paragraph" w:customStyle="1" w:styleId="ListNote">
    <w:name w:val="List Note"/>
    <w:basedOn w:val="List"/>
    <w:rsid w:val="004C2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51B"/>
    <w:rPr>
      <w:rFonts w:ascii="Courier New" w:hAnsi="Courier New"/>
    </w:rPr>
  </w:style>
  <w:style w:type="paragraph" w:customStyle="1" w:styleId="NoteBullet">
    <w:name w:val="Note Bullet"/>
    <w:basedOn w:val="Note"/>
    <w:rsid w:val="004C2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5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2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51B"/>
    <w:rPr>
      <w:b/>
      <w:smallCaps/>
    </w:rPr>
  </w:style>
  <w:style w:type="paragraph" w:customStyle="1" w:styleId="TableListNumber">
    <w:name w:val="Table List Number"/>
    <w:basedOn w:val="ListNumber"/>
    <w:rsid w:val="004C2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51B"/>
    <w:pPr>
      <w:numPr>
        <w:numId w:val="10"/>
      </w:numPr>
    </w:pPr>
  </w:style>
  <w:style w:type="paragraph" w:customStyle="1" w:styleId="ListAlpha2">
    <w:name w:val="List Alpha 2"/>
    <w:basedOn w:val="List2"/>
    <w:rsid w:val="004C251B"/>
    <w:pPr>
      <w:numPr>
        <w:numId w:val="9"/>
      </w:numPr>
    </w:pPr>
  </w:style>
  <w:style w:type="paragraph" w:styleId="List2">
    <w:name w:val="List 2"/>
    <w:basedOn w:val="BodyText"/>
    <w:rsid w:val="004C2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5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25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251B"/>
    <w:pPr>
      <w:numPr>
        <w:numId w:val="5"/>
      </w:numPr>
    </w:pPr>
  </w:style>
  <w:style w:type="paragraph" w:styleId="ListContinue2">
    <w:name w:val="List Continue 2"/>
    <w:basedOn w:val="List2"/>
    <w:rsid w:val="004C251B"/>
    <w:pPr>
      <w:ind w:firstLine="0"/>
    </w:pPr>
  </w:style>
  <w:style w:type="paragraph" w:styleId="ListContinue3">
    <w:name w:val="List Continue 3"/>
    <w:basedOn w:val="List3"/>
    <w:rsid w:val="004C251B"/>
    <w:pPr>
      <w:ind w:left="1021" w:firstLine="0"/>
    </w:pPr>
  </w:style>
  <w:style w:type="paragraph" w:styleId="ListContinue4">
    <w:name w:val="List Continue 4"/>
    <w:basedOn w:val="List4"/>
    <w:rsid w:val="004C251B"/>
    <w:pPr>
      <w:ind w:firstLine="0"/>
    </w:pPr>
  </w:style>
  <w:style w:type="paragraph" w:styleId="ListContinue5">
    <w:name w:val="List Continue 5"/>
    <w:basedOn w:val="List5"/>
    <w:rsid w:val="004C251B"/>
    <w:pPr>
      <w:ind w:firstLine="0"/>
    </w:pPr>
  </w:style>
  <w:style w:type="paragraph" w:styleId="ListNumber3">
    <w:name w:val="List Number 3"/>
    <w:basedOn w:val="List3"/>
    <w:rsid w:val="004C251B"/>
    <w:pPr>
      <w:numPr>
        <w:numId w:val="6"/>
      </w:numPr>
    </w:pPr>
  </w:style>
  <w:style w:type="paragraph" w:styleId="ListNumber4">
    <w:name w:val="List Number 4"/>
    <w:basedOn w:val="List4"/>
    <w:rsid w:val="004C251B"/>
    <w:pPr>
      <w:numPr>
        <w:numId w:val="7"/>
      </w:numPr>
    </w:pPr>
  </w:style>
  <w:style w:type="paragraph" w:styleId="ListNumber5">
    <w:name w:val="List Number 5"/>
    <w:basedOn w:val="List5"/>
    <w:rsid w:val="004C251B"/>
    <w:pPr>
      <w:numPr>
        <w:numId w:val="8"/>
      </w:numPr>
    </w:pPr>
  </w:style>
  <w:style w:type="paragraph" w:styleId="BlockText">
    <w:name w:val="Block Text"/>
    <w:basedOn w:val="Normal"/>
    <w:rsid w:val="004C2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51B"/>
    <w:rPr>
      <w:sz w:val="16"/>
      <w:vertAlign w:val="superscript"/>
    </w:rPr>
  </w:style>
  <w:style w:type="character" w:customStyle="1" w:styleId="Symbols">
    <w:name w:val="Symbols"/>
    <w:basedOn w:val="DefaultParagraphFont"/>
    <w:rsid w:val="004C251B"/>
    <w:rPr>
      <w:rFonts w:ascii="Symbol" w:hAnsi="Symbol"/>
    </w:rPr>
  </w:style>
  <w:style w:type="character" w:customStyle="1" w:styleId="MenuOptions">
    <w:name w:val="Menu Options"/>
    <w:basedOn w:val="DefaultParagraphFont"/>
    <w:rsid w:val="004C2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51B"/>
    <w:rPr>
      <w:b/>
    </w:rPr>
  </w:style>
  <w:style w:type="character" w:customStyle="1" w:styleId="Underlined">
    <w:name w:val="Underlined"/>
    <w:basedOn w:val="DefaultParagraphFont"/>
    <w:rsid w:val="004C251B"/>
    <w:rPr>
      <w:u w:val="single"/>
    </w:rPr>
  </w:style>
  <w:style w:type="paragraph" w:customStyle="1" w:styleId="TableBodyTextRight">
    <w:name w:val="Table Body Text Right"/>
    <w:basedOn w:val="TableBodyText"/>
    <w:rsid w:val="004C2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51B"/>
    <w:rPr>
      <w:sz w:val="18"/>
    </w:rPr>
  </w:style>
  <w:style w:type="paragraph" w:customStyle="1" w:styleId="BodySmallRight">
    <w:name w:val="Body Small Right"/>
    <w:basedOn w:val="BodyTextRight"/>
    <w:rsid w:val="004C251B"/>
    <w:rPr>
      <w:sz w:val="18"/>
      <w:szCs w:val="18"/>
    </w:rPr>
  </w:style>
  <w:style w:type="paragraph" w:customStyle="1" w:styleId="MarginEdition">
    <w:name w:val="Margin Edition"/>
    <w:basedOn w:val="MarginNote"/>
    <w:rsid w:val="004C2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51B"/>
    <w:rPr>
      <w:sz w:val="2"/>
      <w:szCs w:val="2"/>
    </w:rPr>
  </w:style>
  <w:style w:type="character" w:customStyle="1" w:styleId="Small">
    <w:name w:val="Small"/>
    <w:basedOn w:val="DefaultParagraphFont"/>
    <w:rsid w:val="004C251B"/>
    <w:rPr>
      <w:sz w:val="16"/>
    </w:rPr>
  </w:style>
  <w:style w:type="paragraph" w:customStyle="1" w:styleId="WideTable">
    <w:name w:val="Wide Table"/>
    <w:basedOn w:val="Normal"/>
    <w:rsid w:val="004C2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51B"/>
  </w:style>
  <w:style w:type="paragraph" w:styleId="Quote">
    <w:name w:val="Quote"/>
    <w:basedOn w:val="Heading1"/>
    <w:link w:val="QuoteChar"/>
    <w:qFormat/>
    <w:rsid w:val="004C2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51B"/>
    <w:pPr>
      <w:pageBreakBefore/>
    </w:pPr>
  </w:style>
  <w:style w:type="paragraph" w:customStyle="1" w:styleId="Border">
    <w:name w:val="Border"/>
    <w:basedOn w:val="Normal"/>
    <w:qFormat/>
    <w:rsid w:val="004C2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51B"/>
    <w:rPr>
      <w:u w:val="single"/>
    </w:rPr>
  </w:style>
  <w:style w:type="character" w:customStyle="1" w:styleId="BoldandItalics">
    <w:name w:val="Bold and Italics"/>
    <w:qFormat/>
    <w:rsid w:val="004C251B"/>
    <w:rPr>
      <w:b/>
      <w:i/>
      <w:u w:val="none"/>
    </w:rPr>
  </w:style>
  <w:style w:type="paragraph" w:styleId="BalloonText">
    <w:name w:val="Balloon Text"/>
    <w:basedOn w:val="Normal"/>
    <w:link w:val="BalloonTextChar"/>
    <w:rsid w:val="004C2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51B"/>
    <w:pPr>
      <w:spacing w:before="0" w:after="0"/>
    </w:pPr>
  </w:style>
  <w:style w:type="paragraph" w:customStyle="1" w:styleId="BodyTextBold">
    <w:name w:val="Body Text Bold"/>
    <w:basedOn w:val="BodyText"/>
    <w:qFormat/>
    <w:rsid w:val="004C251B"/>
    <w:rPr>
      <w:b/>
    </w:rPr>
  </w:style>
  <w:style w:type="character" w:styleId="Hyperlink">
    <w:name w:val="Hyperlink"/>
    <w:basedOn w:val="DefaultParagraphFont"/>
    <w:uiPriority w:val="99"/>
    <w:unhideWhenUsed/>
    <w:rsid w:val="00551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4234</Characters>
  <Application>Microsoft Office Word</Application>
  <DocSecurity>0</DocSecurity>
  <Lines>124</Lines>
  <Paragraphs>111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CPPREP4003 Access and interpret legislation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