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0E4D" w:rsidP="00230E4D">
      <w:pPr>
        <w:pStyle w:val="Title"/>
      </w:pPr>
      <w:r>
        <w:fldChar w:fldCharType="begin"/>
      </w:r>
      <w:r>
        <w:instrText xml:space="preserve"> TITLE   \* MERGEFORMAT </w:instrText>
      </w:r>
      <w:r>
        <w:fldChar w:fldCharType="separate"/>
      </w:r>
      <w:r>
        <w:t>CPPPMT3026 Select pest management vehicle and equipment</w:t>
      </w:r>
      <w:r>
        <w:fldChar w:fldCharType="end"/>
      </w:r>
    </w:p>
    <w:p w:rsidR="00230E4D" w:rsidP="00230E4D">
      <w:pPr>
        <w:pStyle w:val="Version"/>
        <w:sectPr w:rsidSect="000A64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64D1" w:rsidP="000A64D1">
      <w:pPr>
        <w:pStyle w:val="SuperHeading"/>
      </w:pPr>
      <w:r w:rsidRPr="000A64D1">
        <w:t>CPPPMT3026 Select pest management vehicle and equipment</w:t>
      </w:r>
    </w:p>
    <w:p w:rsidR="00000000" w:rsidRPr="000A64D1" w:rsidP="000A64D1">
      <w:pPr>
        <w:pStyle w:val="Heading1"/>
      </w:pPr>
      <w:bookmarkStart w:id="1" w:name="O_749014"/>
      <w:bookmarkEnd w:id="1"/>
      <w:r w:rsidRPr="000A64D1">
        <w:t>Modification History</w:t>
      </w:r>
    </w:p>
    <w:p w:rsidR="00000000" w:rsidRPr="000A64D1" w:rsidP="00230E4D">
      <w:pPr>
        <w:pStyle w:val="BodyText"/>
      </w:pPr>
      <w:r w:rsidRPr="000A64D1">
        <w:t>Release 1.</w:t>
      </w:r>
    </w:p>
    <w:p w:rsidR="00000000" w:rsidRPr="000A64D1" w:rsidP="00230E4D">
      <w:pPr>
        <w:pStyle w:val="BodyText"/>
      </w:pPr>
      <w:r w:rsidRPr="000A64D1">
        <w:t>Replaces superseded equivalent CPPPMT3026A Select and obtain pest management vehicles, equipment and materials.</w:t>
      </w:r>
    </w:p>
    <w:p w:rsidR="00000000" w:rsidRPr="000A64D1" w:rsidP="00230E4D">
      <w:pPr>
        <w:pStyle w:val="BodyText"/>
      </w:pPr>
      <w:r w:rsidRPr="000A64D1">
        <w:t>This version first released with CPP Property Services Training Package Version 2.</w:t>
      </w:r>
    </w:p>
    <w:p w:rsidR="00000000" w:rsidRPr="000A64D1" w:rsidP="000A64D1">
      <w:pPr>
        <w:pStyle w:val="Heading1"/>
      </w:pPr>
      <w:bookmarkStart w:id="2" w:name="O_749022"/>
      <w:bookmarkEnd w:id="2"/>
      <w:r w:rsidRPr="000A64D1">
        <w:t>Application</w:t>
      </w:r>
    </w:p>
    <w:p w:rsidR="00000000" w:rsidRPr="000A64D1" w:rsidP="00230E4D">
      <w:pPr>
        <w:pStyle w:val="BodyText"/>
      </w:pPr>
      <w:r w:rsidRPr="000A64D1">
        <w:t>This unit of competency specifies the outcomes required to select a pest management vehicle and equipment necessary to deliver pest management services to clients. It requires an understanding of the services to be delivered, and involves</w:t>
      </w:r>
      <w:r w:rsidRPr="000A64D1">
        <w:t xml:space="preserve"> the specification of equipment that can support these services and which complies with legislative and public health and safety requirements. The selection of vehicles and equipment requires the ability to assess equipment requirements, review product spe</w:t>
      </w:r>
      <w:r w:rsidRPr="000A64D1">
        <w:t xml:space="preserve">cifications and marketing materials, and select hiring, leasing or purchasing arrangements for acquisition. </w:t>
      </w:r>
    </w:p>
    <w:p w:rsidR="00000000" w:rsidRPr="000A64D1" w:rsidP="00230E4D">
      <w:pPr>
        <w:pStyle w:val="BodyText"/>
      </w:pPr>
      <w:r w:rsidRPr="000A64D1">
        <w:t>The unit supports pest management technicians responsible for selecting a suitable vehicle and appropriate equipment for the provision of pest man</w:t>
      </w:r>
      <w:r w:rsidRPr="000A64D1">
        <w:t>agement services.</w:t>
      </w:r>
    </w:p>
    <w:p w:rsidR="00000000" w:rsidRPr="000A64D1" w:rsidP="00230E4D">
      <w:pPr>
        <w:pStyle w:val="BodyText"/>
      </w:pPr>
      <w:r w:rsidRPr="000A64D1">
        <w:t>Licensing, legislative, regulatory or certification requirements apply to pest management in some States. Relevant state and territory regulatory authorities should be consulted to confirm those requirements.</w:t>
      </w:r>
    </w:p>
    <w:p w:rsidR="00000000" w:rsidRPr="000A64D1" w:rsidP="000A64D1">
      <w:pPr>
        <w:pStyle w:val="Heading1"/>
      </w:pPr>
      <w:bookmarkStart w:id="3" w:name="O_749021"/>
      <w:bookmarkEnd w:id="3"/>
      <w:r w:rsidRPr="000A64D1">
        <w:t>Pre-requisi</w:t>
      </w:r>
      <w:r w:rsidRPr="000A64D1">
        <w:t>te Unit</w:t>
      </w:r>
    </w:p>
    <w:p w:rsidR="00000000" w:rsidRPr="000A64D1" w:rsidP="00230E4D">
      <w:pPr>
        <w:pStyle w:val="BodyText"/>
      </w:pPr>
      <w:r w:rsidRPr="000A64D1">
        <w:t>Nil</w:t>
      </w:r>
    </w:p>
    <w:p w:rsidR="00000000" w:rsidRPr="000A64D1" w:rsidP="000A64D1">
      <w:pPr>
        <w:pStyle w:val="Heading1"/>
      </w:pPr>
      <w:bookmarkStart w:id="4" w:name="O_749019"/>
      <w:bookmarkEnd w:id="4"/>
      <w:r w:rsidRPr="000A64D1">
        <w:t>Unit Sector</w:t>
      </w:r>
    </w:p>
    <w:p w:rsidR="00000000" w:rsidRPr="000A64D1" w:rsidP="00230E4D">
      <w:pPr>
        <w:pStyle w:val="BodyText"/>
      </w:pPr>
      <w:r w:rsidRPr="000A64D1">
        <w:t>Pest management</w:t>
      </w:r>
    </w:p>
    <w:p w:rsidR="00000000" w:rsidRPr="000A64D1" w:rsidP="000A64D1">
      <w:pPr>
        <w:pStyle w:val="Heading1"/>
      </w:pPr>
      <w:bookmarkStart w:id="5" w:name="O_749018"/>
      <w:bookmarkEnd w:id="5"/>
      <w:r w:rsidRPr="000A64D1">
        <w:t>Elements and Performance Criteria</w:t>
      </w:r>
    </w:p>
    <w:tbl>
      <w:tblPr>
        <w:tblW w:w="0" w:type="auto"/>
        <w:tblLayout w:type="fixed"/>
        <w:tblCellMar>
          <w:left w:w="62" w:type="dxa"/>
          <w:right w:w="62" w:type="dxa"/>
        </w:tblCellMar>
        <w:tblLook w:val="0000"/>
      </w:tblPr>
      <w:tblGrid>
        <w:gridCol w:w="540"/>
        <w:gridCol w:w="2100"/>
        <w:gridCol w:w="770"/>
        <w:gridCol w:w="5610"/>
      </w:tblGrid>
      <w:tr w:rsidTr="000A64D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A64D1">
            <w:pPr>
              <w:pStyle w:val="BodyText"/>
              <w:rPr>
                <w:lang w:val="en-NZ"/>
              </w:rPr>
            </w:pPr>
            <w:r w:rsidRPr="000A64D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A64D1">
            <w:pPr>
              <w:pStyle w:val="BodyText"/>
              <w:rPr>
                <w:lang w:val="en-NZ"/>
              </w:rPr>
            </w:pPr>
            <w:r w:rsidRPr="000A64D1">
              <w:t>Performance criteria describe the performance needed to demonstrate achievement of the element. Where bol</w:t>
            </w:r>
            <w:r w:rsidRPr="000A64D1">
              <w:t xml:space="preserve">d italicised text is used, further information is detailed in the range of </w:t>
            </w:r>
            <w:r w:rsidRPr="000A64D1">
              <w:t>conditions.</w:t>
            </w:r>
          </w:p>
        </w:tc>
      </w:tr>
      <w:tr w:rsidTr="000A64D1">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0A64D1">
            <w:pPr>
              <w:pStyle w:val="BodyText"/>
              <w:rPr>
                <w:lang w:val="en-NZ"/>
              </w:rPr>
            </w:pPr>
            <w:r w:rsidRPr="000A64D1">
              <w:t>1.</w:t>
            </w:r>
          </w:p>
        </w:tc>
        <w:tc>
          <w:tcPr>
            <w:tcW w:w="2100" w:type="dxa"/>
            <w:vMerge w:val="restart"/>
            <w:tcBorders>
              <w:top w:val="nil"/>
              <w:left w:val="nil"/>
              <w:bottom w:val="nil"/>
              <w:right w:val="nil"/>
            </w:tcBorders>
            <w:tcMar>
              <w:top w:w="0" w:type="dxa"/>
              <w:left w:w="62" w:type="dxa"/>
              <w:bottom w:w="0" w:type="dxa"/>
              <w:right w:w="62" w:type="dxa"/>
            </w:tcMar>
          </w:tcPr>
          <w:p w:rsidR="00000000" w:rsidP="000A64D1">
            <w:pPr>
              <w:pStyle w:val="BodyText"/>
              <w:rPr>
                <w:lang w:val="en-NZ"/>
              </w:rPr>
            </w:pPr>
            <w:r w:rsidRPr="000A64D1">
              <w:t>Identify services to be provided.</w:t>
            </w:r>
          </w:p>
        </w:tc>
        <w:tc>
          <w:tcPr>
            <w:tcW w:w="770" w:type="dxa"/>
            <w:tcBorders>
              <w:top w:val="nil"/>
              <w:left w:val="nil"/>
              <w:bottom w:val="nil"/>
              <w:right w:val="nil"/>
            </w:tcBorders>
            <w:tcMar>
              <w:top w:w="0" w:type="dxa"/>
              <w:left w:w="62" w:type="dxa"/>
              <w:bottom w:w="0" w:type="dxa"/>
              <w:right w:w="62" w:type="dxa"/>
            </w:tcMar>
          </w:tcPr>
          <w:p w:rsidR="00000000" w:rsidP="000A64D1">
            <w:pPr>
              <w:pStyle w:val="BodyText"/>
              <w:rPr>
                <w:lang w:val="en-NZ"/>
              </w:rPr>
            </w:pPr>
            <w:r w:rsidRPr="000A64D1">
              <w:t>1.1.</w:t>
            </w:r>
          </w:p>
        </w:tc>
        <w:tc>
          <w:tcPr>
            <w:tcW w:w="5610" w:type="dxa"/>
            <w:tcBorders>
              <w:top w:val="nil"/>
              <w:left w:val="nil"/>
              <w:bottom w:val="nil"/>
              <w:right w:val="nil"/>
            </w:tcBorders>
            <w:tcMar>
              <w:top w:w="0" w:type="dxa"/>
              <w:left w:w="62" w:type="dxa"/>
              <w:bottom w:w="0" w:type="dxa"/>
              <w:right w:w="62" w:type="dxa"/>
            </w:tcMar>
          </w:tcPr>
          <w:p w:rsidR="00000000" w:rsidP="000A64D1">
            <w:pPr>
              <w:pStyle w:val="BodyText"/>
              <w:rPr>
                <w:lang w:val="en-NZ"/>
              </w:rPr>
            </w:pPr>
            <w:r w:rsidRPr="000A64D1">
              <w:t xml:space="preserve">Types of </w:t>
            </w:r>
            <w:r w:rsidRPr="000A64D1">
              <w:rPr>
                <w:rStyle w:val="BoldandItalics"/>
              </w:rPr>
              <w:t>pests</w:t>
            </w:r>
            <w:r w:rsidRPr="000A64D1">
              <w:t xml:space="preserve"> to be treated and target client groups are identified.</w:t>
            </w:r>
          </w:p>
        </w:tc>
      </w:tr>
      <w:tr w:rsidTr="000A64D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64D1">
            <w:pPr>
              <w:pStyle w:val="BodyText"/>
              <w:rPr>
                <w:lang w:val="en-NZ"/>
              </w:rPr>
            </w:pPr>
            <w:r w:rsidRPr="000A64D1">
              <w:t>1.2.</w:t>
            </w:r>
          </w:p>
        </w:tc>
        <w:tc>
          <w:tcPr>
            <w:tcW w:w="5610" w:type="dxa"/>
            <w:tcBorders>
              <w:top w:val="nil"/>
              <w:left w:val="nil"/>
              <w:bottom w:val="nil"/>
              <w:right w:val="nil"/>
            </w:tcBorders>
            <w:tcMar>
              <w:top w:w="0" w:type="dxa"/>
              <w:left w:w="62" w:type="dxa"/>
              <w:bottom w:w="0" w:type="dxa"/>
              <w:right w:w="62" w:type="dxa"/>
            </w:tcMar>
          </w:tcPr>
          <w:p w:rsidR="00000000" w:rsidP="000A64D1">
            <w:pPr>
              <w:pStyle w:val="BodyText"/>
              <w:rPr>
                <w:lang w:val="en-NZ"/>
              </w:rPr>
            </w:pPr>
            <w:r w:rsidRPr="000A64D1">
              <w:t>Pest management methods to be used for service delivery are identified.</w:t>
            </w:r>
          </w:p>
        </w:tc>
      </w:tr>
      <w:tr w:rsidTr="000A64D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64D1">
            <w:pPr>
              <w:pStyle w:val="BodyText"/>
              <w:rPr>
                <w:lang w:val="en-NZ"/>
              </w:rPr>
            </w:pPr>
            <w:r w:rsidRPr="000A64D1">
              <w:t>1.3.</w:t>
            </w:r>
          </w:p>
        </w:tc>
        <w:tc>
          <w:tcPr>
            <w:tcW w:w="5610" w:type="dxa"/>
            <w:tcBorders>
              <w:top w:val="nil"/>
              <w:left w:val="nil"/>
              <w:bottom w:val="nil"/>
              <w:right w:val="nil"/>
            </w:tcBorders>
            <w:tcMar>
              <w:top w:w="0" w:type="dxa"/>
              <w:left w:w="62" w:type="dxa"/>
              <w:bottom w:w="0" w:type="dxa"/>
              <w:right w:w="62" w:type="dxa"/>
            </w:tcMar>
          </w:tcPr>
          <w:p w:rsidR="00000000" w:rsidP="000A64D1">
            <w:pPr>
              <w:pStyle w:val="BodyText"/>
              <w:rPr>
                <w:lang w:val="en-NZ"/>
              </w:rPr>
            </w:pPr>
            <w:r w:rsidRPr="000A64D1">
              <w:t xml:space="preserve">Types of </w:t>
            </w:r>
            <w:r w:rsidRPr="000A64D1">
              <w:rPr>
                <w:rStyle w:val="BoldandItalics"/>
              </w:rPr>
              <w:t>equipment</w:t>
            </w:r>
            <w:r w:rsidRPr="000A64D1">
              <w:t xml:space="preserve"> required for pest management methods are assessed according to manufacturer specifications and company and </w:t>
            </w:r>
            <w:r w:rsidRPr="000A64D1">
              <w:rPr>
                <w:rStyle w:val="BoldandItalics"/>
              </w:rPr>
              <w:t>compliance requirements</w:t>
            </w:r>
            <w:r w:rsidRPr="000A64D1">
              <w:t>.</w:t>
            </w:r>
          </w:p>
        </w:tc>
      </w:tr>
      <w:tr w:rsidTr="000A64D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A64D1">
            <w:pPr>
              <w:pStyle w:val="BodyText"/>
              <w:rPr>
                <w:lang w:val="en-NZ"/>
              </w:rPr>
            </w:pPr>
          </w:p>
        </w:tc>
      </w:tr>
      <w:tr w:rsidTr="000A64D1">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0A64D1">
            <w:pPr>
              <w:pStyle w:val="BodyText"/>
              <w:rPr>
                <w:lang w:val="en-NZ"/>
              </w:rPr>
            </w:pPr>
            <w:r w:rsidRPr="000A64D1">
              <w:t>2.</w:t>
            </w:r>
          </w:p>
        </w:tc>
        <w:tc>
          <w:tcPr>
            <w:tcW w:w="2100" w:type="dxa"/>
            <w:vMerge w:val="restart"/>
            <w:tcBorders>
              <w:top w:val="nil"/>
              <w:left w:val="nil"/>
              <w:bottom w:val="nil"/>
              <w:right w:val="nil"/>
            </w:tcBorders>
            <w:tcMar>
              <w:top w:w="0" w:type="dxa"/>
              <w:left w:w="62" w:type="dxa"/>
              <w:bottom w:w="0" w:type="dxa"/>
              <w:right w:w="62" w:type="dxa"/>
            </w:tcMar>
          </w:tcPr>
          <w:p w:rsidR="00000000" w:rsidP="000A64D1">
            <w:pPr>
              <w:pStyle w:val="BodyText"/>
              <w:rPr>
                <w:lang w:val="en-NZ"/>
              </w:rPr>
            </w:pPr>
            <w:r w:rsidRPr="000A64D1">
              <w:t>Select a pest management vehicle.</w:t>
            </w:r>
          </w:p>
        </w:tc>
        <w:tc>
          <w:tcPr>
            <w:tcW w:w="770" w:type="dxa"/>
            <w:tcBorders>
              <w:top w:val="nil"/>
              <w:left w:val="nil"/>
              <w:bottom w:val="nil"/>
              <w:right w:val="nil"/>
            </w:tcBorders>
            <w:tcMar>
              <w:top w:w="0" w:type="dxa"/>
              <w:left w:w="62" w:type="dxa"/>
              <w:bottom w:w="0" w:type="dxa"/>
              <w:right w:w="62" w:type="dxa"/>
            </w:tcMar>
          </w:tcPr>
          <w:p w:rsidR="00000000" w:rsidP="000A64D1">
            <w:pPr>
              <w:pStyle w:val="BodyText"/>
              <w:rPr>
                <w:lang w:val="en-NZ"/>
              </w:rPr>
            </w:pPr>
            <w:r w:rsidRPr="000A64D1">
              <w:t>2.1.</w:t>
            </w:r>
          </w:p>
        </w:tc>
        <w:tc>
          <w:tcPr>
            <w:tcW w:w="5610" w:type="dxa"/>
            <w:tcBorders>
              <w:top w:val="nil"/>
              <w:left w:val="nil"/>
              <w:bottom w:val="nil"/>
              <w:right w:val="nil"/>
            </w:tcBorders>
            <w:tcMar>
              <w:top w:w="0" w:type="dxa"/>
              <w:left w:w="62" w:type="dxa"/>
              <w:bottom w:w="0" w:type="dxa"/>
              <w:right w:w="62" w:type="dxa"/>
            </w:tcMar>
          </w:tcPr>
          <w:p w:rsidR="00000000" w:rsidP="000A64D1">
            <w:pPr>
              <w:pStyle w:val="BodyText"/>
              <w:rPr>
                <w:lang w:val="en-NZ"/>
              </w:rPr>
            </w:pPr>
            <w:r w:rsidRPr="000A64D1">
              <w:t>Type of vehicle required for pest management service delivery is determined according to manufacturer specifications and company and compliance requirements.</w:t>
            </w:r>
          </w:p>
        </w:tc>
      </w:tr>
      <w:tr w:rsidTr="000A64D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64D1">
            <w:pPr>
              <w:pStyle w:val="BodyText"/>
              <w:rPr>
                <w:lang w:val="en-NZ"/>
              </w:rPr>
            </w:pPr>
            <w:r w:rsidRPr="000A64D1">
              <w:t>2.2.</w:t>
            </w:r>
          </w:p>
        </w:tc>
        <w:tc>
          <w:tcPr>
            <w:tcW w:w="5610" w:type="dxa"/>
            <w:tcBorders>
              <w:top w:val="nil"/>
              <w:left w:val="nil"/>
              <w:bottom w:val="nil"/>
              <w:right w:val="nil"/>
            </w:tcBorders>
            <w:tcMar>
              <w:top w:w="0" w:type="dxa"/>
              <w:left w:w="62" w:type="dxa"/>
              <w:bottom w:w="0" w:type="dxa"/>
              <w:right w:w="62" w:type="dxa"/>
            </w:tcMar>
          </w:tcPr>
          <w:p w:rsidR="00000000" w:rsidP="000A64D1">
            <w:pPr>
              <w:pStyle w:val="BodyText"/>
              <w:rPr>
                <w:lang w:val="en-NZ"/>
              </w:rPr>
            </w:pPr>
            <w:r w:rsidRPr="000A64D1">
              <w:t>Suitable vehicle is identified and its comp</w:t>
            </w:r>
            <w:r w:rsidRPr="000A64D1">
              <w:t>liance with roadworthiness and registration rules is confirmed according to company and compliance requirements.</w:t>
            </w:r>
          </w:p>
        </w:tc>
      </w:tr>
      <w:tr w:rsidTr="000A64D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A64D1">
            <w:pPr>
              <w:pStyle w:val="BodyText"/>
              <w:rPr>
                <w:lang w:val="en-NZ"/>
              </w:rPr>
            </w:pPr>
          </w:p>
        </w:tc>
      </w:tr>
      <w:tr w:rsidTr="000A64D1">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0A64D1">
            <w:pPr>
              <w:pStyle w:val="BodyText"/>
              <w:rPr>
                <w:lang w:val="en-NZ"/>
              </w:rPr>
            </w:pPr>
            <w:r w:rsidRPr="000A64D1">
              <w:t>3.</w:t>
            </w:r>
          </w:p>
        </w:tc>
        <w:tc>
          <w:tcPr>
            <w:tcW w:w="2100" w:type="dxa"/>
            <w:vMerge w:val="restart"/>
            <w:tcBorders>
              <w:top w:val="nil"/>
              <w:left w:val="nil"/>
              <w:bottom w:val="nil"/>
              <w:right w:val="nil"/>
            </w:tcBorders>
            <w:tcMar>
              <w:top w:w="0" w:type="dxa"/>
              <w:left w:w="62" w:type="dxa"/>
              <w:bottom w:w="0" w:type="dxa"/>
              <w:right w:w="62" w:type="dxa"/>
            </w:tcMar>
          </w:tcPr>
          <w:p w:rsidR="00000000" w:rsidP="000A64D1">
            <w:pPr>
              <w:pStyle w:val="BodyText"/>
              <w:rPr>
                <w:lang w:val="en-NZ"/>
              </w:rPr>
            </w:pPr>
            <w:r w:rsidRPr="000A64D1">
              <w:t>Determine performance characteristics and select equipment.</w:t>
            </w:r>
          </w:p>
        </w:tc>
        <w:tc>
          <w:tcPr>
            <w:tcW w:w="770" w:type="dxa"/>
            <w:tcBorders>
              <w:top w:val="nil"/>
              <w:left w:val="nil"/>
              <w:bottom w:val="nil"/>
              <w:right w:val="nil"/>
            </w:tcBorders>
            <w:tcMar>
              <w:top w:w="0" w:type="dxa"/>
              <w:left w:w="62" w:type="dxa"/>
              <w:bottom w:w="0" w:type="dxa"/>
              <w:right w:w="62" w:type="dxa"/>
            </w:tcMar>
          </w:tcPr>
          <w:p w:rsidR="00000000" w:rsidP="000A64D1">
            <w:pPr>
              <w:pStyle w:val="BodyText"/>
              <w:rPr>
                <w:lang w:val="en-NZ"/>
              </w:rPr>
            </w:pPr>
            <w:r w:rsidRPr="000A64D1">
              <w:t>3.1.</w:t>
            </w:r>
          </w:p>
        </w:tc>
        <w:tc>
          <w:tcPr>
            <w:tcW w:w="5610" w:type="dxa"/>
            <w:tcBorders>
              <w:top w:val="nil"/>
              <w:left w:val="nil"/>
              <w:bottom w:val="nil"/>
              <w:right w:val="nil"/>
            </w:tcBorders>
            <w:tcMar>
              <w:top w:w="0" w:type="dxa"/>
              <w:left w:w="62" w:type="dxa"/>
              <w:bottom w:w="0" w:type="dxa"/>
              <w:right w:w="62" w:type="dxa"/>
            </w:tcMar>
          </w:tcPr>
          <w:p w:rsidR="00000000" w:rsidP="000A64D1">
            <w:pPr>
              <w:pStyle w:val="BodyText"/>
              <w:rPr>
                <w:lang w:val="en-NZ"/>
              </w:rPr>
            </w:pPr>
            <w:r w:rsidRPr="000A64D1">
              <w:t xml:space="preserve">Performance requirements of equipment are assessed in relation to types of services to be provided and reviewed against manufacturer specifications and company and compliance requirements. </w:t>
            </w:r>
          </w:p>
        </w:tc>
      </w:tr>
      <w:tr w:rsidTr="000A64D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A64D1" w:rsidP="000A64D1">
            <w:pPr>
              <w:pStyle w:val="BodyText"/>
            </w:pPr>
            <w:r w:rsidRPr="000A64D1">
              <w:t>3.2.</w:t>
            </w:r>
          </w:p>
        </w:tc>
        <w:tc>
          <w:tcPr>
            <w:tcW w:w="5610" w:type="dxa"/>
            <w:tcBorders>
              <w:top w:val="nil"/>
              <w:left w:val="nil"/>
              <w:bottom w:val="nil"/>
              <w:right w:val="nil"/>
            </w:tcBorders>
            <w:tcMar>
              <w:top w:w="0" w:type="dxa"/>
              <w:left w:w="62" w:type="dxa"/>
              <w:bottom w:w="0" w:type="dxa"/>
              <w:right w:w="62" w:type="dxa"/>
            </w:tcMar>
          </w:tcPr>
          <w:p w:rsidR="00000000" w:rsidP="000A64D1">
            <w:pPr>
              <w:pStyle w:val="BodyText"/>
              <w:rPr>
                <w:lang w:val="en-NZ"/>
              </w:rPr>
            </w:pPr>
            <w:r w:rsidRPr="000A64D1">
              <w:rPr>
                <w:rStyle w:val="BoldandItalics"/>
              </w:rPr>
              <w:t xml:space="preserve">Suitability </w:t>
            </w:r>
            <w:r w:rsidRPr="000A64D1">
              <w:t>of equipment and personal protective equipment</w:t>
            </w:r>
            <w:r w:rsidRPr="000A64D1">
              <w:t xml:space="preserve"> (PPE) for service delivery is determined according to manufacturer specifications and company and compliance requirements.</w:t>
            </w:r>
          </w:p>
        </w:tc>
      </w:tr>
      <w:tr w:rsidTr="000A64D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64D1">
            <w:pPr>
              <w:pStyle w:val="BodyText"/>
              <w:rPr>
                <w:lang w:val="en-NZ"/>
              </w:rPr>
            </w:pPr>
            <w:r w:rsidRPr="000A64D1">
              <w:t>3.3.</w:t>
            </w:r>
          </w:p>
        </w:tc>
        <w:tc>
          <w:tcPr>
            <w:tcW w:w="5610" w:type="dxa"/>
            <w:tcBorders>
              <w:top w:val="nil"/>
              <w:left w:val="nil"/>
              <w:bottom w:val="nil"/>
              <w:right w:val="nil"/>
            </w:tcBorders>
            <w:tcMar>
              <w:top w:w="0" w:type="dxa"/>
              <w:left w:w="62" w:type="dxa"/>
              <w:bottom w:w="0" w:type="dxa"/>
              <w:right w:w="62" w:type="dxa"/>
            </w:tcMar>
          </w:tcPr>
          <w:p w:rsidR="00000000" w:rsidP="000A64D1">
            <w:pPr>
              <w:pStyle w:val="BodyText"/>
              <w:rPr>
                <w:lang w:val="en-NZ"/>
              </w:rPr>
            </w:pPr>
            <w:r w:rsidRPr="000A64D1">
              <w:t xml:space="preserve">Use and life expectancy of equipment and PPE are </w:t>
            </w:r>
            <w:r w:rsidRPr="000A64D1">
              <w:rPr>
                <w:rStyle w:val="BoldandItalics"/>
              </w:rPr>
              <w:t xml:space="preserve">estimated </w:t>
            </w:r>
            <w:r w:rsidRPr="000A64D1">
              <w:t>according to company requirements.</w:t>
            </w:r>
          </w:p>
        </w:tc>
      </w:tr>
      <w:tr w:rsidTr="000A64D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64D1">
            <w:pPr>
              <w:pStyle w:val="BodyText"/>
              <w:rPr>
                <w:lang w:val="en-NZ"/>
              </w:rPr>
            </w:pPr>
            <w:r w:rsidRPr="000A64D1">
              <w:t>3.4.</w:t>
            </w:r>
          </w:p>
        </w:tc>
        <w:tc>
          <w:tcPr>
            <w:tcW w:w="5610" w:type="dxa"/>
            <w:tcBorders>
              <w:top w:val="nil"/>
              <w:left w:val="nil"/>
              <w:bottom w:val="nil"/>
              <w:right w:val="nil"/>
            </w:tcBorders>
            <w:tcMar>
              <w:top w:w="0" w:type="dxa"/>
              <w:left w:w="62" w:type="dxa"/>
              <w:bottom w:w="0" w:type="dxa"/>
              <w:right w:w="62" w:type="dxa"/>
            </w:tcMar>
          </w:tcPr>
          <w:p w:rsidR="00000000" w:rsidP="000A64D1">
            <w:pPr>
              <w:pStyle w:val="BodyText"/>
              <w:rPr>
                <w:lang w:val="en-NZ"/>
              </w:rPr>
            </w:pPr>
            <w:r w:rsidRPr="000A64D1">
              <w:t>Weather resistant equipment is selected for external use according to manufacturer specifications and company and compliance requirements.</w:t>
            </w:r>
          </w:p>
        </w:tc>
      </w:tr>
      <w:tr w:rsidTr="000A64D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64D1">
            <w:pPr>
              <w:pStyle w:val="BodyText"/>
              <w:rPr>
                <w:lang w:val="en-NZ"/>
              </w:rPr>
            </w:pPr>
            <w:r w:rsidRPr="000A64D1">
              <w:t>3.5.</w:t>
            </w:r>
          </w:p>
        </w:tc>
        <w:tc>
          <w:tcPr>
            <w:tcW w:w="5610" w:type="dxa"/>
            <w:tcBorders>
              <w:top w:val="nil"/>
              <w:left w:val="nil"/>
              <w:bottom w:val="nil"/>
              <w:right w:val="nil"/>
            </w:tcBorders>
            <w:tcMar>
              <w:top w:w="0" w:type="dxa"/>
              <w:left w:w="62" w:type="dxa"/>
              <w:bottom w:w="0" w:type="dxa"/>
              <w:right w:w="62" w:type="dxa"/>
            </w:tcMar>
          </w:tcPr>
          <w:p w:rsidR="00000000" w:rsidP="000A64D1">
            <w:pPr>
              <w:pStyle w:val="BodyText"/>
              <w:rPr>
                <w:lang w:val="en-NZ"/>
              </w:rPr>
            </w:pPr>
            <w:r w:rsidRPr="000A64D1">
              <w:t>Equipment manufactured from non-absorbent substances is selected to minimise chemical build-up and other cont</w:t>
            </w:r>
            <w:r w:rsidRPr="000A64D1">
              <w:t>amination according to manufacturer specifications and company and compliance requirements.</w:t>
            </w:r>
          </w:p>
        </w:tc>
      </w:tr>
      <w:tr w:rsidTr="000A64D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64D1">
            <w:pPr>
              <w:pStyle w:val="BodyText"/>
              <w:rPr>
                <w:lang w:val="en-NZ"/>
              </w:rPr>
            </w:pPr>
            <w:r w:rsidRPr="000A64D1">
              <w:t>3.6.</w:t>
            </w:r>
          </w:p>
        </w:tc>
        <w:tc>
          <w:tcPr>
            <w:tcW w:w="5610" w:type="dxa"/>
            <w:tcBorders>
              <w:top w:val="nil"/>
              <w:left w:val="nil"/>
              <w:bottom w:val="nil"/>
              <w:right w:val="nil"/>
            </w:tcBorders>
            <w:tcMar>
              <w:top w:w="0" w:type="dxa"/>
              <w:left w:w="62" w:type="dxa"/>
              <w:bottom w:w="0" w:type="dxa"/>
              <w:right w:w="62" w:type="dxa"/>
            </w:tcMar>
          </w:tcPr>
          <w:p w:rsidR="00000000" w:rsidP="000A64D1">
            <w:pPr>
              <w:pStyle w:val="BodyText"/>
              <w:rPr>
                <w:lang w:val="en-NZ"/>
              </w:rPr>
            </w:pPr>
            <w:r w:rsidRPr="000A64D1">
              <w:t xml:space="preserve">Pumps, hoses, fittings and tanks are selected to meet anticipated volume or pressure delivery according to </w:t>
            </w:r>
            <w:r w:rsidRPr="000A64D1">
              <w:t>manufacturer specifications and company and compl</w:t>
            </w:r>
            <w:r w:rsidRPr="000A64D1">
              <w:t>iance requirements.</w:t>
            </w:r>
          </w:p>
        </w:tc>
      </w:tr>
      <w:tr w:rsidTr="000A64D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A64D1">
            <w:pPr>
              <w:pStyle w:val="BodyText"/>
              <w:rPr>
                <w:lang w:val="en-NZ"/>
              </w:rPr>
            </w:pPr>
          </w:p>
        </w:tc>
      </w:tr>
      <w:tr w:rsidTr="000A64D1">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0A64D1">
            <w:pPr>
              <w:pStyle w:val="BodyText"/>
              <w:rPr>
                <w:lang w:val="en-NZ"/>
              </w:rPr>
            </w:pPr>
            <w:r w:rsidRPr="000A64D1">
              <w:t>4.</w:t>
            </w:r>
          </w:p>
        </w:tc>
        <w:tc>
          <w:tcPr>
            <w:tcW w:w="2100" w:type="dxa"/>
            <w:vMerge w:val="restart"/>
            <w:tcBorders>
              <w:top w:val="nil"/>
              <w:left w:val="nil"/>
              <w:bottom w:val="nil"/>
              <w:right w:val="nil"/>
            </w:tcBorders>
            <w:tcMar>
              <w:top w:w="0" w:type="dxa"/>
              <w:left w:w="62" w:type="dxa"/>
              <w:bottom w:w="0" w:type="dxa"/>
              <w:right w:w="62" w:type="dxa"/>
            </w:tcMar>
          </w:tcPr>
          <w:p w:rsidR="00000000" w:rsidP="000A64D1">
            <w:pPr>
              <w:pStyle w:val="BodyText"/>
              <w:rPr>
                <w:lang w:val="en-NZ"/>
              </w:rPr>
            </w:pPr>
            <w:r w:rsidRPr="000A64D1">
              <w:t>Ensure access to supplies of equipment.</w:t>
            </w:r>
          </w:p>
        </w:tc>
        <w:tc>
          <w:tcPr>
            <w:tcW w:w="770" w:type="dxa"/>
            <w:tcBorders>
              <w:top w:val="nil"/>
              <w:left w:val="nil"/>
              <w:bottom w:val="nil"/>
              <w:right w:val="nil"/>
            </w:tcBorders>
            <w:tcMar>
              <w:top w:w="0" w:type="dxa"/>
              <w:left w:w="62" w:type="dxa"/>
              <w:bottom w:w="0" w:type="dxa"/>
              <w:right w:w="62" w:type="dxa"/>
            </w:tcMar>
          </w:tcPr>
          <w:p w:rsidR="00000000" w:rsidP="000A64D1">
            <w:pPr>
              <w:pStyle w:val="BodyText"/>
              <w:rPr>
                <w:lang w:val="en-NZ"/>
              </w:rPr>
            </w:pPr>
            <w:r w:rsidRPr="000A64D1">
              <w:t>4.1.</w:t>
            </w:r>
          </w:p>
        </w:tc>
        <w:tc>
          <w:tcPr>
            <w:tcW w:w="5610" w:type="dxa"/>
            <w:tcBorders>
              <w:top w:val="nil"/>
              <w:left w:val="nil"/>
              <w:bottom w:val="nil"/>
              <w:right w:val="nil"/>
            </w:tcBorders>
            <w:tcMar>
              <w:top w:w="0" w:type="dxa"/>
              <w:left w:w="62" w:type="dxa"/>
              <w:bottom w:w="0" w:type="dxa"/>
              <w:right w:w="62" w:type="dxa"/>
            </w:tcMar>
          </w:tcPr>
          <w:p w:rsidR="00000000" w:rsidP="000A64D1">
            <w:pPr>
              <w:pStyle w:val="BodyText"/>
              <w:rPr>
                <w:lang w:val="en-NZ"/>
              </w:rPr>
            </w:pPr>
            <w:r w:rsidRPr="000A64D1">
              <w:t>Purchase, hiring and leasing options for equipment are examined and selected to suit budget and usage patterns according to company requirements.</w:t>
            </w:r>
          </w:p>
        </w:tc>
      </w:tr>
      <w:tr w:rsidTr="000A64D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64D1">
            <w:pPr>
              <w:pStyle w:val="BodyText"/>
              <w:rPr>
                <w:lang w:val="en-NZ"/>
              </w:rPr>
            </w:pPr>
            <w:r w:rsidRPr="000A64D1">
              <w:t>4.2.</w:t>
            </w:r>
          </w:p>
        </w:tc>
        <w:tc>
          <w:tcPr>
            <w:tcW w:w="5610" w:type="dxa"/>
            <w:tcBorders>
              <w:top w:val="nil"/>
              <w:left w:val="nil"/>
              <w:bottom w:val="nil"/>
              <w:right w:val="nil"/>
            </w:tcBorders>
            <w:tcMar>
              <w:top w:w="0" w:type="dxa"/>
              <w:left w:w="62" w:type="dxa"/>
              <w:bottom w:w="0" w:type="dxa"/>
              <w:right w:w="62" w:type="dxa"/>
            </w:tcMar>
          </w:tcPr>
          <w:p w:rsidR="00000000" w:rsidP="000A64D1">
            <w:pPr>
              <w:pStyle w:val="BodyText"/>
              <w:rPr>
                <w:lang w:val="en-NZ"/>
              </w:rPr>
            </w:pPr>
            <w:r w:rsidRPr="000A64D1">
              <w:t>Relationship with suppliers is built and maintained on suitable trading terms according to company requirements.</w:t>
            </w:r>
          </w:p>
        </w:tc>
      </w:tr>
      <w:tr w:rsidTr="000A64D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A64D1">
            <w:pPr>
              <w:pStyle w:val="BodyText"/>
              <w:rPr>
                <w:lang w:val="en-NZ"/>
              </w:rPr>
            </w:pPr>
          </w:p>
        </w:tc>
      </w:tr>
      <w:tr w:rsidTr="000A64D1">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0A64D1">
            <w:pPr>
              <w:pStyle w:val="BodyText"/>
              <w:rPr>
                <w:lang w:val="en-NZ"/>
              </w:rPr>
            </w:pPr>
            <w:r w:rsidRPr="000A64D1">
              <w:t>5.</w:t>
            </w:r>
          </w:p>
        </w:tc>
        <w:tc>
          <w:tcPr>
            <w:tcW w:w="2100" w:type="dxa"/>
            <w:vMerge w:val="restart"/>
            <w:tcBorders>
              <w:top w:val="nil"/>
              <w:left w:val="nil"/>
              <w:bottom w:val="nil"/>
              <w:right w:val="nil"/>
            </w:tcBorders>
            <w:tcMar>
              <w:top w:w="0" w:type="dxa"/>
              <w:left w:w="62" w:type="dxa"/>
              <w:bottom w:w="0" w:type="dxa"/>
              <w:right w:w="62" w:type="dxa"/>
            </w:tcMar>
          </w:tcPr>
          <w:p w:rsidR="00000000" w:rsidP="000A64D1">
            <w:pPr>
              <w:pStyle w:val="BodyText"/>
              <w:rPr>
                <w:lang w:val="en-NZ"/>
              </w:rPr>
            </w:pPr>
            <w:r w:rsidRPr="000A64D1">
              <w:t>Maintain up-to-date information on equipment.</w:t>
            </w:r>
          </w:p>
        </w:tc>
        <w:tc>
          <w:tcPr>
            <w:tcW w:w="770" w:type="dxa"/>
            <w:tcBorders>
              <w:top w:val="nil"/>
              <w:left w:val="nil"/>
              <w:bottom w:val="nil"/>
              <w:right w:val="nil"/>
            </w:tcBorders>
            <w:tcMar>
              <w:top w:w="0" w:type="dxa"/>
              <w:left w:w="62" w:type="dxa"/>
              <w:bottom w:w="0" w:type="dxa"/>
              <w:right w:w="62" w:type="dxa"/>
            </w:tcMar>
          </w:tcPr>
          <w:p w:rsidR="00000000" w:rsidP="000A64D1">
            <w:pPr>
              <w:pStyle w:val="BodyText"/>
              <w:rPr>
                <w:lang w:val="en-NZ"/>
              </w:rPr>
            </w:pPr>
            <w:r w:rsidRPr="000A64D1">
              <w:t>5.1.</w:t>
            </w:r>
          </w:p>
        </w:tc>
        <w:tc>
          <w:tcPr>
            <w:tcW w:w="5610" w:type="dxa"/>
            <w:tcBorders>
              <w:top w:val="nil"/>
              <w:left w:val="nil"/>
              <w:bottom w:val="nil"/>
              <w:right w:val="nil"/>
            </w:tcBorders>
            <w:tcMar>
              <w:top w:w="0" w:type="dxa"/>
              <w:left w:w="62" w:type="dxa"/>
              <w:bottom w:w="0" w:type="dxa"/>
              <w:right w:w="62" w:type="dxa"/>
            </w:tcMar>
          </w:tcPr>
          <w:p w:rsidR="00000000" w:rsidP="000A64D1">
            <w:pPr>
              <w:pStyle w:val="BodyText"/>
              <w:rPr>
                <w:lang w:val="en-NZ"/>
              </w:rPr>
            </w:pPr>
            <w:r w:rsidRPr="000A64D1">
              <w:t>Business network is maintained according to company requirements in order to access regular and current information on new and improved equipment.</w:t>
            </w:r>
          </w:p>
        </w:tc>
      </w:tr>
      <w:tr w:rsidTr="000A64D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64D1">
            <w:pPr>
              <w:pStyle w:val="BodyText"/>
              <w:rPr>
                <w:lang w:val="en-NZ"/>
              </w:rPr>
            </w:pPr>
            <w:r w:rsidRPr="000A64D1">
              <w:t>5.2.</w:t>
            </w:r>
          </w:p>
        </w:tc>
        <w:tc>
          <w:tcPr>
            <w:tcW w:w="5610" w:type="dxa"/>
            <w:tcBorders>
              <w:top w:val="nil"/>
              <w:left w:val="nil"/>
              <w:bottom w:val="nil"/>
              <w:right w:val="nil"/>
            </w:tcBorders>
            <w:tcMar>
              <w:top w:w="0" w:type="dxa"/>
              <w:left w:w="62" w:type="dxa"/>
              <w:bottom w:w="0" w:type="dxa"/>
              <w:right w:w="62" w:type="dxa"/>
            </w:tcMar>
          </w:tcPr>
          <w:p w:rsidR="00000000" w:rsidP="000A64D1">
            <w:pPr>
              <w:pStyle w:val="BodyText"/>
              <w:rPr>
                <w:lang w:val="en-NZ"/>
              </w:rPr>
            </w:pPr>
            <w:r w:rsidRPr="000A64D1">
              <w:t>Latest information and publications are accessed from regulatory authorities, industry sources and suppliers according to company requirements.</w:t>
            </w:r>
          </w:p>
        </w:tc>
      </w:tr>
      <w:tr w:rsidTr="000A64D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64D1">
            <w:pPr>
              <w:pStyle w:val="BodyText"/>
              <w:rPr>
                <w:lang w:val="en-NZ"/>
              </w:rPr>
            </w:pPr>
            <w:r w:rsidRPr="000A64D1">
              <w:t>5.3.</w:t>
            </w:r>
          </w:p>
        </w:tc>
        <w:tc>
          <w:tcPr>
            <w:tcW w:w="5610" w:type="dxa"/>
            <w:tcBorders>
              <w:top w:val="nil"/>
              <w:left w:val="nil"/>
              <w:bottom w:val="nil"/>
              <w:right w:val="nil"/>
            </w:tcBorders>
            <w:tcMar>
              <w:top w:w="0" w:type="dxa"/>
              <w:left w:w="62" w:type="dxa"/>
              <w:bottom w:w="0" w:type="dxa"/>
              <w:right w:w="62" w:type="dxa"/>
            </w:tcMar>
          </w:tcPr>
          <w:p w:rsidR="00000000" w:rsidRPr="000A64D1" w:rsidP="000A64D1">
            <w:pPr>
              <w:pStyle w:val="BodyText"/>
            </w:pPr>
            <w:r w:rsidRPr="000A64D1">
              <w:t xml:space="preserve">Offers by suppliers to test new products are used, where relevant to services provided and according to </w:t>
            </w:r>
            <w:r w:rsidRPr="000A64D1">
              <w:t>company requirements.</w:t>
            </w:r>
          </w:p>
        </w:tc>
      </w:tr>
    </w:tbl>
    <w:p w:rsidR="00000000" w:rsidRPr="000A64D1" w:rsidP="000A64D1">
      <w:pPr>
        <w:pStyle w:val="BodyText"/>
      </w:pPr>
    </w:p>
    <w:p w:rsidR="00000000" w:rsidRPr="000A64D1" w:rsidP="000A64D1">
      <w:pPr>
        <w:pStyle w:val="AllowPageBreak"/>
      </w:pPr>
    </w:p>
    <w:p w:rsidR="00000000" w:rsidRPr="000A64D1" w:rsidP="000A64D1">
      <w:pPr>
        <w:pStyle w:val="Heading1"/>
      </w:pPr>
      <w:bookmarkStart w:id="6" w:name="O_749017"/>
      <w:bookmarkEnd w:id="6"/>
      <w:r w:rsidRPr="000A64D1">
        <w:t>Foundation Skills</w:t>
      </w:r>
    </w:p>
    <w:tbl>
      <w:tblPr>
        <w:tblW w:w="0" w:type="auto"/>
        <w:tblLayout w:type="fixed"/>
        <w:tblCellMar>
          <w:left w:w="62" w:type="dxa"/>
          <w:right w:w="62" w:type="dxa"/>
        </w:tblCellMar>
        <w:tblLook w:val="0000"/>
      </w:tblPr>
      <w:tblGrid>
        <w:gridCol w:w="2256"/>
        <w:gridCol w:w="6878"/>
      </w:tblGrid>
      <w:tr w:rsidTr="000A64D1">
        <w:tblPrEx>
          <w:tblW w:w="0" w:type="auto"/>
          <w:tblLayout w:type="fixed"/>
          <w:tblCellMar>
            <w:left w:w="62" w:type="dxa"/>
            <w:right w:w="62" w:type="dxa"/>
          </w:tblCellMar>
          <w:tblLook w:val="0000"/>
        </w:tblPrEx>
        <w:trPr>
          <w:tblHeader/>
        </w:trPr>
        <w:tc>
          <w:tcPr>
            <w:tcW w:w="9134" w:type="dxa"/>
            <w:gridSpan w:val="2"/>
            <w:tcBorders>
              <w:top w:val="nil"/>
              <w:left w:val="nil"/>
              <w:bottom w:val="nil"/>
              <w:right w:val="nil"/>
            </w:tcBorders>
            <w:tcMar>
              <w:top w:w="0" w:type="dxa"/>
              <w:left w:w="62" w:type="dxa"/>
              <w:bottom w:w="0" w:type="dxa"/>
              <w:right w:w="62" w:type="dxa"/>
            </w:tcMar>
          </w:tcPr>
          <w:p w:rsidR="00000000" w:rsidP="000A64D1">
            <w:pPr>
              <w:pStyle w:val="BodyText"/>
              <w:rPr>
                <w:lang w:val="en-NZ"/>
              </w:rPr>
            </w:pPr>
            <w:r w:rsidRPr="000A64D1">
              <w:t>This section describes the language, literacy, numeracy and employment skills essential to performance in this unit but not explicit in the performance criteria.</w:t>
            </w:r>
          </w:p>
        </w:tc>
      </w:tr>
      <w:tr w:rsidTr="000A64D1">
        <w:tblPrEx>
          <w:tblW w:w="0" w:type="auto"/>
          <w:tblLayout w:type="fixed"/>
          <w:tblCellMar>
            <w:left w:w="62" w:type="dxa"/>
            <w:right w:w="62" w:type="dxa"/>
          </w:tblCellMar>
          <w:tblLook w:val="0000"/>
        </w:tblPrEx>
        <w:trPr>
          <w:tblHeader/>
        </w:trPr>
        <w:tc>
          <w:tcPr>
            <w:tcW w:w="2256" w:type="dxa"/>
            <w:tcBorders>
              <w:top w:val="nil"/>
              <w:left w:val="nil"/>
              <w:bottom w:val="nil"/>
              <w:right w:val="nil"/>
            </w:tcBorders>
            <w:tcMar>
              <w:top w:w="0" w:type="dxa"/>
              <w:left w:w="62" w:type="dxa"/>
              <w:bottom w:w="0" w:type="dxa"/>
              <w:right w:w="62" w:type="dxa"/>
            </w:tcMar>
          </w:tcPr>
          <w:p w:rsidR="00000000" w:rsidRPr="000A64D1" w:rsidP="000A64D1">
            <w:pPr>
              <w:pStyle w:val="BodyText"/>
            </w:pPr>
            <w:r w:rsidRPr="000A64D1">
              <w:rPr>
                <w:rStyle w:val="SpecialBold"/>
              </w:rPr>
              <w:t>Skill</w:t>
            </w:r>
          </w:p>
        </w:tc>
        <w:tc>
          <w:tcPr>
            <w:tcW w:w="6878" w:type="dxa"/>
            <w:tcBorders>
              <w:top w:val="nil"/>
              <w:left w:val="nil"/>
              <w:bottom w:val="nil"/>
              <w:right w:val="nil"/>
            </w:tcBorders>
            <w:tcMar>
              <w:top w:w="0" w:type="dxa"/>
              <w:left w:w="62" w:type="dxa"/>
              <w:bottom w:w="0" w:type="dxa"/>
              <w:right w:w="62" w:type="dxa"/>
            </w:tcMar>
          </w:tcPr>
          <w:p w:rsidR="00000000" w:rsidP="000A64D1">
            <w:pPr>
              <w:pStyle w:val="BodyText"/>
              <w:rPr>
                <w:lang w:val="en-NZ"/>
              </w:rPr>
            </w:pPr>
            <w:r w:rsidRPr="000A64D1">
              <w:rPr>
                <w:rStyle w:val="SpecialBold"/>
              </w:rPr>
              <w:t>Performance feature</w:t>
            </w:r>
          </w:p>
        </w:tc>
      </w:tr>
      <w:tr w:rsidTr="000A64D1">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0A64D1">
            <w:pPr>
              <w:pStyle w:val="BodyText"/>
              <w:rPr>
                <w:lang w:val="en-NZ"/>
              </w:rPr>
            </w:pPr>
            <w:r w:rsidRPr="000A64D1">
              <w:t>Learning skills to:</w:t>
            </w:r>
          </w:p>
        </w:tc>
        <w:tc>
          <w:tcPr>
            <w:tcW w:w="6878" w:type="dxa"/>
            <w:tcBorders>
              <w:top w:val="nil"/>
              <w:left w:val="nil"/>
              <w:bottom w:val="nil"/>
              <w:right w:val="nil"/>
            </w:tcBorders>
            <w:tcMar>
              <w:top w:w="0" w:type="dxa"/>
              <w:left w:w="62" w:type="dxa"/>
              <w:bottom w:w="0" w:type="dxa"/>
              <w:right w:w="62" w:type="dxa"/>
            </w:tcMar>
          </w:tcPr>
          <w:p w:rsidR="00000000" w:rsidRPr="000A64D1" w:rsidP="000A64D1">
            <w:pPr>
              <w:pStyle w:val="ListBullet"/>
            </w:pPr>
            <w:r w:rsidRPr="000A64D1">
              <w:t>identify and use reliable sources of information about vehicles and equipment for delivery of pest management services</w:t>
            </w:r>
          </w:p>
          <w:p w:rsidR="00000000" w:rsidRPr="000A64D1" w:rsidP="000A64D1">
            <w:pPr>
              <w:pStyle w:val="ListBullet"/>
            </w:pPr>
            <w:r w:rsidRPr="000A64D1">
              <w:t>assess capabilities and characteristics of equipment against performance requirements for pest management service delivery</w:t>
            </w:r>
          </w:p>
          <w:p w:rsidR="00000000" w:rsidP="000A64D1">
            <w:pPr>
              <w:pStyle w:val="ListBullet"/>
              <w:rPr>
                <w:lang w:val="en-NZ"/>
              </w:rPr>
            </w:pPr>
            <w:r w:rsidRPr="000A64D1">
              <w:t>engage in activities to build information and relationships that benefit the business.</w:t>
            </w:r>
          </w:p>
        </w:tc>
      </w:tr>
      <w:tr w:rsidTr="000A64D1">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0A64D1">
            <w:pPr>
              <w:pStyle w:val="BodyText"/>
              <w:rPr>
                <w:lang w:val="en-NZ"/>
              </w:rPr>
            </w:pPr>
          </w:p>
        </w:tc>
      </w:tr>
      <w:tr w:rsidTr="000A64D1">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0A64D1">
            <w:pPr>
              <w:pStyle w:val="BodyText"/>
              <w:rPr>
                <w:lang w:val="en-NZ"/>
              </w:rPr>
            </w:pPr>
            <w:r w:rsidRPr="000A64D1">
              <w:t>Numeracy skills to:</w:t>
            </w:r>
          </w:p>
        </w:tc>
        <w:tc>
          <w:tcPr>
            <w:tcW w:w="6878" w:type="dxa"/>
            <w:tcBorders>
              <w:top w:val="nil"/>
              <w:left w:val="nil"/>
              <w:bottom w:val="nil"/>
              <w:right w:val="nil"/>
            </w:tcBorders>
            <w:tcMar>
              <w:top w:w="0" w:type="dxa"/>
              <w:left w:w="62" w:type="dxa"/>
              <w:bottom w:w="0" w:type="dxa"/>
              <w:right w:w="62" w:type="dxa"/>
            </w:tcMar>
          </w:tcPr>
          <w:p w:rsidR="00000000" w:rsidRPr="000A64D1" w:rsidP="000A64D1">
            <w:pPr>
              <w:pStyle w:val="ListBullet"/>
            </w:pPr>
            <w:r w:rsidRPr="000A64D1">
              <w:t>interpret mathematica</w:t>
            </w:r>
            <w:r w:rsidRPr="000A64D1">
              <w:t xml:space="preserve">l data regarding equipment performance capacities </w:t>
            </w:r>
          </w:p>
          <w:p w:rsidR="00000000" w:rsidP="000A64D1">
            <w:pPr>
              <w:pStyle w:val="ListBullet"/>
              <w:rPr>
                <w:lang w:val="en-NZ"/>
              </w:rPr>
            </w:pPr>
            <w:r w:rsidRPr="000A64D1">
              <w:t>calculate and compare costs of purchasing, hiring or leasing equipment.</w:t>
            </w:r>
          </w:p>
        </w:tc>
      </w:tr>
      <w:tr w:rsidTr="000A64D1">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0A64D1">
            <w:pPr>
              <w:pStyle w:val="BodyText"/>
              <w:rPr>
                <w:lang w:val="en-NZ"/>
              </w:rPr>
            </w:pPr>
          </w:p>
        </w:tc>
      </w:tr>
      <w:tr w:rsidTr="000A64D1">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0A64D1">
            <w:pPr>
              <w:pStyle w:val="BodyText"/>
              <w:rPr>
                <w:lang w:val="en-NZ"/>
              </w:rPr>
            </w:pPr>
            <w:r w:rsidRPr="000A64D1">
              <w:t>Oral communication skills to:</w:t>
            </w:r>
          </w:p>
        </w:tc>
        <w:tc>
          <w:tcPr>
            <w:tcW w:w="6878" w:type="dxa"/>
            <w:tcBorders>
              <w:top w:val="nil"/>
              <w:left w:val="nil"/>
              <w:bottom w:val="nil"/>
              <w:right w:val="nil"/>
            </w:tcBorders>
            <w:tcMar>
              <w:top w:w="0" w:type="dxa"/>
              <w:left w:w="62" w:type="dxa"/>
              <w:bottom w:w="0" w:type="dxa"/>
              <w:right w:w="62" w:type="dxa"/>
            </w:tcMar>
          </w:tcPr>
          <w:p w:rsidR="00000000" w:rsidRPr="000A64D1" w:rsidP="000A64D1">
            <w:pPr>
              <w:pStyle w:val="ListBullet"/>
            </w:pPr>
            <w:r w:rsidRPr="000A64D1">
              <w:t>question manufacturers and suppliers about vehicle and equipment specifications and costs</w:t>
            </w:r>
          </w:p>
          <w:p w:rsidR="00000000" w:rsidP="000A64D1">
            <w:pPr>
              <w:pStyle w:val="ListBullet"/>
              <w:rPr>
                <w:lang w:val="en-NZ"/>
              </w:rPr>
            </w:pPr>
            <w:r w:rsidRPr="000A64D1">
              <w:t>build and maintain relationships with suppliers and business networks.</w:t>
            </w:r>
          </w:p>
        </w:tc>
      </w:tr>
      <w:tr w:rsidTr="000A64D1">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0A64D1">
            <w:pPr>
              <w:pStyle w:val="BodyText"/>
              <w:rPr>
                <w:lang w:val="en-NZ"/>
              </w:rPr>
            </w:pPr>
          </w:p>
        </w:tc>
      </w:tr>
      <w:tr w:rsidTr="000A64D1">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0A64D1">
            <w:pPr>
              <w:pStyle w:val="BodyText"/>
              <w:rPr>
                <w:lang w:val="en-NZ"/>
              </w:rPr>
            </w:pPr>
            <w:r w:rsidRPr="000A64D1">
              <w:t>Reading skills to:</w:t>
            </w:r>
          </w:p>
        </w:tc>
        <w:tc>
          <w:tcPr>
            <w:tcW w:w="6878" w:type="dxa"/>
            <w:tcBorders>
              <w:top w:val="nil"/>
              <w:left w:val="nil"/>
              <w:bottom w:val="nil"/>
              <w:right w:val="nil"/>
            </w:tcBorders>
            <w:tcMar>
              <w:top w:w="0" w:type="dxa"/>
              <w:left w:w="62" w:type="dxa"/>
              <w:bottom w:w="0" w:type="dxa"/>
              <w:right w:w="62" w:type="dxa"/>
            </w:tcMar>
          </w:tcPr>
          <w:p w:rsidR="00000000" w:rsidP="000A64D1">
            <w:pPr>
              <w:pStyle w:val="ListBullet"/>
              <w:rPr>
                <w:lang w:val="en-NZ"/>
              </w:rPr>
            </w:pPr>
            <w:r w:rsidRPr="000A64D1">
              <w:t>read and interpret manufacturer specifications, marketing materials, purchase documents and financing contracts.</w:t>
            </w:r>
          </w:p>
        </w:tc>
      </w:tr>
      <w:tr w:rsidTr="000A64D1">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0A64D1">
            <w:pPr>
              <w:pStyle w:val="BodyText"/>
              <w:rPr>
                <w:lang w:val="en-NZ"/>
              </w:rPr>
            </w:pPr>
          </w:p>
        </w:tc>
      </w:tr>
      <w:tr w:rsidTr="000A64D1">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0A64D1">
            <w:pPr>
              <w:pStyle w:val="BodyText"/>
              <w:rPr>
                <w:lang w:val="en-NZ"/>
              </w:rPr>
            </w:pPr>
            <w:r w:rsidRPr="000A64D1">
              <w:t>Writing skills to:</w:t>
            </w:r>
          </w:p>
        </w:tc>
        <w:tc>
          <w:tcPr>
            <w:tcW w:w="6878" w:type="dxa"/>
            <w:tcBorders>
              <w:top w:val="nil"/>
              <w:left w:val="nil"/>
              <w:bottom w:val="nil"/>
              <w:right w:val="nil"/>
            </w:tcBorders>
            <w:tcMar>
              <w:top w:w="0" w:type="dxa"/>
              <w:left w:w="62" w:type="dxa"/>
              <w:bottom w:w="0" w:type="dxa"/>
              <w:right w:w="62" w:type="dxa"/>
            </w:tcMar>
          </w:tcPr>
          <w:p w:rsidR="00000000" w:rsidRPr="000A64D1" w:rsidP="000A64D1">
            <w:pPr>
              <w:pStyle w:val="ListBullet"/>
            </w:pPr>
            <w:r w:rsidRPr="000A64D1">
              <w:t>email suppliers using ap</w:t>
            </w:r>
            <w:r w:rsidRPr="000A64D1">
              <w:t xml:space="preserve">propriate technical language to request advice or further information. </w:t>
            </w:r>
          </w:p>
        </w:tc>
      </w:tr>
    </w:tbl>
    <w:p w:rsidR="00000000" w:rsidRPr="000A64D1" w:rsidP="000A64D1">
      <w:pPr>
        <w:pStyle w:val="BodyText"/>
      </w:pPr>
    </w:p>
    <w:p w:rsidR="00000000" w:rsidRPr="000A64D1" w:rsidP="000A64D1">
      <w:pPr>
        <w:pStyle w:val="AllowPageBreak"/>
      </w:pPr>
    </w:p>
    <w:p w:rsidR="00000000" w:rsidRPr="000A64D1" w:rsidP="000A64D1">
      <w:pPr>
        <w:pStyle w:val="Heading1"/>
      </w:pPr>
      <w:bookmarkStart w:id="7" w:name="O_749016"/>
      <w:bookmarkEnd w:id="7"/>
      <w:r w:rsidRPr="000A64D1">
        <w:t>Range of Conditions</w:t>
      </w:r>
    </w:p>
    <w:tbl>
      <w:tblPr>
        <w:tblW w:w="0" w:type="auto"/>
        <w:tblLayout w:type="fixed"/>
        <w:tblCellMar>
          <w:left w:w="62" w:type="dxa"/>
          <w:right w:w="62" w:type="dxa"/>
        </w:tblCellMar>
        <w:tblLook w:val="0000"/>
      </w:tblPr>
      <w:tblGrid>
        <w:gridCol w:w="2235"/>
        <w:gridCol w:w="6717"/>
      </w:tblGrid>
      <w:tr w:rsidTr="000A64D1">
        <w:tblPrEx>
          <w:tblW w:w="0" w:type="auto"/>
          <w:tblLayout w:type="fixed"/>
          <w:tblCellMar>
            <w:left w:w="62" w:type="dxa"/>
            <w:right w:w="62" w:type="dxa"/>
          </w:tblCellMar>
          <w:tblLook w:val="0000"/>
        </w:tblPrEx>
        <w:tc>
          <w:tcPr>
            <w:tcW w:w="8952" w:type="dxa"/>
            <w:gridSpan w:val="2"/>
            <w:tcBorders>
              <w:top w:val="nil"/>
              <w:left w:val="nil"/>
              <w:bottom w:val="nil"/>
              <w:right w:val="nil"/>
            </w:tcBorders>
            <w:tcMar>
              <w:top w:w="0" w:type="dxa"/>
              <w:left w:w="62" w:type="dxa"/>
              <w:bottom w:w="0" w:type="dxa"/>
              <w:right w:w="62" w:type="dxa"/>
            </w:tcMar>
          </w:tcPr>
          <w:p w:rsidR="00000000" w:rsidP="000A64D1">
            <w:pPr>
              <w:pStyle w:val="BodyText"/>
              <w:rPr>
                <w:lang w:val="en-NZ"/>
              </w:rPr>
            </w:pPr>
            <w:r w:rsidRPr="000A64D1">
              <w:t>This section specifies work environments and conditions that may affect performance. Essential operating conditions that may be present (depending on the work situation, needs of the candidate, accessibility of the item, and local industry and regional con</w:t>
            </w:r>
            <w:r w:rsidRPr="000A64D1">
              <w:t>texts) are included. Bold italicised wording, if used in the performance criteria, is detailed below.</w:t>
            </w:r>
          </w:p>
        </w:tc>
      </w:tr>
      <w:tr w:rsidTr="000A64D1">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17" w:type="dxa"/>
            <w:tcBorders>
              <w:top w:val="nil"/>
              <w:left w:val="nil"/>
              <w:bottom w:val="nil"/>
              <w:right w:val="nil"/>
            </w:tcBorders>
            <w:tcMar>
              <w:top w:w="0" w:type="dxa"/>
              <w:left w:w="62" w:type="dxa"/>
              <w:bottom w:w="0" w:type="dxa"/>
              <w:right w:w="62" w:type="dxa"/>
            </w:tcMar>
          </w:tcPr>
          <w:p w:rsidR="00000000" w:rsidP="000A64D1">
            <w:pPr>
              <w:pStyle w:val="BodyText"/>
              <w:rPr>
                <w:lang w:val="en-NZ"/>
              </w:rPr>
            </w:pPr>
          </w:p>
        </w:tc>
      </w:tr>
      <w:tr w:rsidTr="000A64D1">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rsidP="000A64D1">
            <w:pPr>
              <w:pStyle w:val="BodyText"/>
              <w:rPr>
                <w:lang w:val="en-NZ"/>
              </w:rPr>
            </w:pPr>
            <w:r w:rsidRPr="000A64D1">
              <w:rPr>
                <w:rStyle w:val="BoldandItalics"/>
              </w:rPr>
              <w:t xml:space="preserve">Pests </w:t>
            </w:r>
            <w:r w:rsidRPr="000A64D1">
              <w:t>must include:</w:t>
            </w:r>
          </w:p>
        </w:tc>
        <w:tc>
          <w:tcPr>
            <w:tcW w:w="6717" w:type="dxa"/>
            <w:tcBorders>
              <w:top w:val="nil"/>
              <w:left w:val="nil"/>
              <w:bottom w:val="nil"/>
              <w:right w:val="nil"/>
            </w:tcBorders>
            <w:tcMar>
              <w:top w:w="0" w:type="dxa"/>
              <w:left w:w="62" w:type="dxa"/>
              <w:bottom w:w="0" w:type="dxa"/>
              <w:right w:w="62" w:type="dxa"/>
            </w:tcMar>
          </w:tcPr>
          <w:p w:rsidR="00000000" w:rsidRPr="000A64D1" w:rsidP="000A64D1">
            <w:pPr>
              <w:pStyle w:val="ListBullet"/>
            </w:pPr>
            <w:r w:rsidRPr="000A64D1">
              <w:t>ants</w:t>
            </w:r>
          </w:p>
          <w:p w:rsidR="00000000" w:rsidRPr="000A64D1" w:rsidP="000A64D1">
            <w:pPr>
              <w:pStyle w:val="ListBullet"/>
            </w:pPr>
            <w:r w:rsidRPr="000A64D1">
              <w:t>cockroaches</w:t>
            </w:r>
          </w:p>
          <w:p w:rsidR="00000000" w:rsidRPr="000A64D1" w:rsidP="000A64D1">
            <w:pPr>
              <w:pStyle w:val="ListBullet"/>
            </w:pPr>
            <w:r w:rsidRPr="000A64D1">
              <w:t>rodents</w:t>
            </w:r>
          </w:p>
          <w:p w:rsidR="00000000" w:rsidP="000A64D1">
            <w:pPr>
              <w:pStyle w:val="ListBullet"/>
              <w:rPr>
                <w:lang w:val="en-NZ"/>
              </w:rPr>
            </w:pPr>
            <w:r w:rsidRPr="000A64D1">
              <w:t>spiders.</w:t>
            </w:r>
          </w:p>
        </w:tc>
      </w:tr>
      <w:tr w:rsidTr="000A64D1">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17" w:type="dxa"/>
            <w:tcBorders>
              <w:top w:val="nil"/>
              <w:left w:val="nil"/>
              <w:bottom w:val="nil"/>
              <w:right w:val="nil"/>
            </w:tcBorders>
            <w:tcMar>
              <w:top w:w="0" w:type="dxa"/>
              <w:left w:w="62" w:type="dxa"/>
              <w:bottom w:w="0" w:type="dxa"/>
              <w:right w:w="62" w:type="dxa"/>
            </w:tcMar>
          </w:tcPr>
          <w:p w:rsidR="00000000" w:rsidP="000A64D1">
            <w:pPr>
              <w:pStyle w:val="BodyText"/>
              <w:rPr>
                <w:lang w:val="en-NZ"/>
              </w:rPr>
            </w:pPr>
          </w:p>
        </w:tc>
      </w:tr>
      <w:tr w:rsidTr="000A64D1">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rsidP="000A64D1">
            <w:pPr>
              <w:pStyle w:val="BodyText"/>
              <w:rPr>
                <w:lang w:val="en-NZ"/>
              </w:rPr>
            </w:pPr>
            <w:r w:rsidRPr="000A64D1">
              <w:rPr>
                <w:rStyle w:val="BoldandItalics"/>
              </w:rPr>
              <w:t xml:space="preserve">Equipment </w:t>
            </w:r>
            <w:r w:rsidRPr="000A64D1">
              <w:t>must include:</w:t>
            </w:r>
          </w:p>
        </w:tc>
        <w:tc>
          <w:tcPr>
            <w:tcW w:w="6717" w:type="dxa"/>
            <w:tcBorders>
              <w:top w:val="nil"/>
              <w:left w:val="nil"/>
              <w:bottom w:val="nil"/>
              <w:right w:val="nil"/>
            </w:tcBorders>
            <w:tcMar>
              <w:top w:w="0" w:type="dxa"/>
              <w:left w:w="62" w:type="dxa"/>
              <w:bottom w:w="0" w:type="dxa"/>
              <w:right w:w="62" w:type="dxa"/>
            </w:tcMar>
          </w:tcPr>
          <w:p w:rsidR="00000000" w:rsidRPr="000A64D1" w:rsidP="000A64D1">
            <w:pPr>
              <w:pStyle w:val="ListBullet"/>
            </w:pPr>
            <w:r w:rsidRPr="000A64D1">
              <w:t>inspection equipment</w:t>
            </w:r>
          </w:p>
          <w:p w:rsidR="00000000" w:rsidRPr="000A64D1" w:rsidP="000A64D1">
            <w:pPr>
              <w:pStyle w:val="ListBullet"/>
            </w:pPr>
            <w:r w:rsidRPr="000A64D1">
              <w:t>lockable storage areas</w:t>
            </w:r>
          </w:p>
          <w:p w:rsidR="00000000" w:rsidRPr="000A64D1" w:rsidP="000A64D1">
            <w:pPr>
              <w:pStyle w:val="ListBullet"/>
            </w:pPr>
            <w:r w:rsidRPr="000A64D1">
              <w:t>personal protective equipment</w:t>
            </w:r>
          </w:p>
          <w:p w:rsidR="00000000" w:rsidRPr="000A64D1" w:rsidP="000A64D1">
            <w:pPr>
              <w:pStyle w:val="ListBullet"/>
            </w:pPr>
            <w:r w:rsidRPr="000A64D1">
              <w:t>pesticide application equipment</w:t>
            </w:r>
          </w:p>
          <w:p w:rsidR="00000000" w:rsidRPr="000A64D1" w:rsidP="000A64D1">
            <w:pPr>
              <w:pStyle w:val="ListBullet"/>
            </w:pPr>
            <w:r w:rsidRPr="000A64D1">
              <w:t>pesticide measuring and mixing equipment</w:t>
            </w:r>
          </w:p>
          <w:p w:rsidR="00000000" w:rsidP="000A64D1">
            <w:pPr>
              <w:pStyle w:val="ListBullet"/>
              <w:rPr>
                <w:lang w:val="en-NZ"/>
              </w:rPr>
            </w:pPr>
            <w:r w:rsidRPr="000A64D1">
              <w:t>waste disposal containers.</w:t>
            </w:r>
          </w:p>
        </w:tc>
      </w:tr>
      <w:tr w:rsidTr="000A64D1">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17" w:type="dxa"/>
            <w:tcBorders>
              <w:top w:val="nil"/>
              <w:left w:val="nil"/>
              <w:bottom w:val="nil"/>
              <w:right w:val="nil"/>
            </w:tcBorders>
            <w:tcMar>
              <w:top w:w="0" w:type="dxa"/>
              <w:left w:w="62" w:type="dxa"/>
              <w:bottom w:w="0" w:type="dxa"/>
              <w:right w:w="62" w:type="dxa"/>
            </w:tcMar>
          </w:tcPr>
          <w:p w:rsidR="00000000" w:rsidP="000A64D1">
            <w:pPr>
              <w:pStyle w:val="BodyText"/>
              <w:rPr>
                <w:lang w:val="en-NZ"/>
              </w:rPr>
            </w:pPr>
          </w:p>
        </w:tc>
      </w:tr>
      <w:tr w:rsidTr="000A64D1">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rsidP="000A64D1">
            <w:pPr>
              <w:pStyle w:val="BodyText"/>
              <w:rPr>
                <w:lang w:val="en-NZ"/>
              </w:rPr>
            </w:pPr>
            <w:r w:rsidRPr="000A64D1">
              <w:rPr>
                <w:rStyle w:val="BoldandItalics"/>
              </w:rPr>
              <w:t xml:space="preserve">Compliance requirements </w:t>
            </w:r>
            <w:r w:rsidRPr="000A64D1">
              <w:t>must include:</w:t>
            </w:r>
          </w:p>
        </w:tc>
        <w:tc>
          <w:tcPr>
            <w:tcW w:w="6717" w:type="dxa"/>
            <w:tcBorders>
              <w:top w:val="nil"/>
              <w:left w:val="nil"/>
              <w:bottom w:val="nil"/>
              <w:right w:val="nil"/>
            </w:tcBorders>
            <w:tcMar>
              <w:top w:w="0" w:type="dxa"/>
              <w:left w:w="62" w:type="dxa"/>
              <w:bottom w:w="0" w:type="dxa"/>
              <w:right w:w="62" w:type="dxa"/>
            </w:tcMar>
          </w:tcPr>
          <w:p w:rsidR="00000000" w:rsidRPr="000A64D1" w:rsidP="000A64D1">
            <w:pPr>
              <w:pStyle w:val="ListBullet"/>
            </w:pPr>
            <w:r w:rsidRPr="000A64D1">
              <w:t>Australian standards, quality assurance and certification requirements relating to selecting pest management vehicle and equipment</w:t>
            </w:r>
          </w:p>
          <w:p w:rsidR="00000000" w:rsidRPr="000A64D1" w:rsidP="000A64D1">
            <w:pPr>
              <w:pStyle w:val="ListBullet"/>
            </w:pPr>
            <w:r w:rsidRPr="000A64D1">
              <w:t xml:space="preserve">commonwealth, state and territory legislation and local government regulations relating to selecting pest management vehicle </w:t>
            </w:r>
            <w:r w:rsidRPr="000A64D1">
              <w:t>and equipment that affect company operation, including:</w:t>
            </w:r>
          </w:p>
          <w:p w:rsidR="00000000" w:rsidRPr="000A64D1" w:rsidP="000A64D1">
            <w:pPr>
              <w:pStyle w:val="ListBullet2"/>
            </w:pPr>
            <w:r w:rsidRPr="000A64D1">
              <w:t xml:space="preserve">consumer protection </w:t>
            </w:r>
          </w:p>
          <w:p w:rsidR="00000000" w:rsidRPr="000A64D1" w:rsidP="000A64D1">
            <w:pPr>
              <w:pStyle w:val="ListBullet2"/>
            </w:pPr>
            <w:r w:rsidRPr="000A64D1">
              <w:t xml:space="preserve">dangerous goods </w:t>
            </w:r>
          </w:p>
          <w:p w:rsidR="00000000" w:rsidRPr="000A64D1" w:rsidP="000A64D1">
            <w:pPr>
              <w:pStyle w:val="ListBullet2"/>
            </w:pPr>
            <w:r w:rsidRPr="000A64D1">
              <w:t>pesticide registers and manifests</w:t>
            </w:r>
          </w:p>
          <w:p w:rsidR="00000000" w:rsidRPr="000A64D1" w:rsidP="000A64D1">
            <w:pPr>
              <w:pStyle w:val="ListBullet2"/>
            </w:pPr>
            <w:r w:rsidRPr="000A64D1">
              <w:t>pesticide use</w:t>
            </w:r>
          </w:p>
          <w:p w:rsidR="00000000" w:rsidRPr="000A64D1" w:rsidP="000A64D1">
            <w:pPr>
              <w:pStyle w:val="ListBullet2"/>
            </w:pPr>
            <w:r w:rsidRPr="000A64D1">
              <w:t>privacy</w:t>
            </w:r>
          </w:p>
          <w:p w:rsidR="00000000" w:rsidRPr="000A64D1" w:rsidP="000A64D1">
            <w:pPr>
              <w:pStyle w:val="ListBullet2"/>
            </w:pPr>
            <w:r w:rsidRPr="000A64D1">
              <w:t>public health and safety</w:t>
            </w:r>
          </w:p>
          <w:p w:rsidR="00000000" w:rsidRPr="000A64D1" w:rsidP="000A64D1">
            <w:pPr>
              <w:pStyle w:val="ListBullet"/>
            </w:pPr>
            <w:r w:rsidRPr="000A64D1">
              <w:t>national and industry codes of practice and advisory standards relating to selecting pest management vehicle and equipment, including:</w:t>
            </w:r>
          </w:p>
          <w:p w:rsidR="00000000" w:rsidRPr="000A64D1" w:rsidP="000A64D1">
            <w:pPr>
              <w:pStyle w:val="ListBullet2"/>
            </w:pPr>
            <w:r w:rsidRPr="000A64D1">
              <w:t>building codes</w:t>
            </w:r>
          </w:p>
          <w:p w:rsidR="00000000" w:rsidRPr="000A64D1" w:rsidP="000A64D1">
            <w:pPr>
              <w:pStyle w:val="ListBullet2"/>
            </w:pPr>
            <w:r w:rsidRPr="000A64D1">
              <w:t>dangerous goods codes</w:t>
            </w:r>
          </w:p>
          <w:p w:rsidR="00000000" w:rsidRPr="000A64D1" w:rsidP="000A64D1">
            <w:pPr>
              <w:pStyle w:val="ListBullet"/>
            </w:pPr>
            <w:r w:rsidRPr="000A64D1">
              <w:t xml:space="preserve">work health and safety requirements relating to selecting pest management vehicle </w:t>
            </w:r>
            <w:r w:rsidRPr="000A64D1">
              <w:t>and equipment, including:</w:t>
            </w:r>
          </w:p>
          <w:p w:rsidR="00000000" w:rsidRPr="000A64D1" w:rsidP="000A64D1">
            <w:pPr>
              <w:pStyle w:val="ListBullet2"/>
            </w:pPr>
            <w:r w:rsidRPr="000A64D1">
              <w:t xml:space="preserve">procedures for hazard identification, risk assessment and hazard control, including hierarchy of hazard control </w:t>
            </w:r>
          </w:p>
          <w:p w:rsidR="00000000" w:rsidRPr="000A64D1" w:rsidP="000A64D1">
            <w:pPr>
              <w:pStyle w:val="ListBullet2"/>
            </w:pPr>
            <w:r w:rsidRPr="000A64D1">
              <w:t>requirements of national registration authority and state government authorities</w:t>
            </w:r>
          </w:p>
          <w:p w:rsidR="00000000" w:rsidP="000A64D1">
            <w:pPr>
              <w:pStyle w:val="ListBullet2"/>
              <w:rPr>
                <w:lang w:val="en-NZ"/>
              </w:rPr>
            </w:pPr>
            <w:r w:rsidRPr="000A64D1">
              <w:t>use of safe work methods.</w:t>
            </w:r>
          </w:p>
        </w:tc>
      </w:tr>
      <w:tr w:rsidTr="000A64D1">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17" w:type="dxa"/>
            <w:tcBorders>
              <w:top w:val="nil"/>
              <w:left w:val="nil"/>
              <w:bottom w:val="nil"/>
              <w:right w:val="nil"/>
            </w:tcBorders>
            <w:tcMar>
              <w:top w:w="0" w:type="dxa"/>
              <w:left w:w="62" w:type="dxa"/>
              <w:bottom w:w="0" w:type="dxa"/>
              <w:right w:w="62" w:type="dxa"/>
            </w:tcMar>
          </w:tcPr>
          <w:p w:rsidR="00000000" w:rsidP="000A64D1">
            <w:pPr>
              <w:pStyle w:val="BodyText"/>
              <w:rPr>
                <w:lang w:val="en-NZ"/>
              </w:rPr>
            </w:pPr>
          </w:p>
        </w:tc>
      </w:tr>
      <w:tr w:rsidTr="000A64D1">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rsidP="000A64D1">
            <w:pPr>
              <w:pStyle w:val="BodyText"/>
              <w:rPr>
                <w:lang w:val="en-NZ"/>
              </w:rPr>
            </w:pPr>
            <w:r w:rsidRPr="000A64D1">
              <w:rPr>
                <w:rStyle w:val="BoldandItalics"/>
              </w:rPr>
              <w:t>Suitability</w:t>
            </w:r>
            <w:r w:rsidRPr="000A64D1">
              <w:t xml:space="preserve"> criteria to be considered must include:</w:t>
            </w:r>
          </w:p>
        </w:tc>
        <w:tc>
          <w:tcPr>
            <w:tcW w:w="6717" w:type="dxa"/>
            <w:tcBorders>
              <w:top w:val="nil"/>
              <w:left w:val="nil"/>
              <w:bottom w:val="nil"/>
              <w:right w:val="nil"/>
            </w:tcBorders>
            <w:tcMar>
              <w:top w:w="0" w:type="dxa"/>
              <w:left w:w="62" w:type="dxa"/>
              <w:bottom w:w="0" w:type="dxa"/>
              <w:right w:w="62" w:type="dxa"/>
            </w:tcMar>
          </w:tcPr>
          <w:p w:rsidR="00000000" w:rsidRPr="000A64D1" w:rsidP="000A64D1">
            <w:pPr>
              <w:pStyle w:val="ListBullet"/>
            </w:pPr>
            <w:r w:rsidRPr="000A64D1">
              <w:t>compliance with regulatory or legislative requirements</w:t>
            </w:r>
          </w:p>
          <w:p w:rsidR="00000000" w:rsidRPr="000A64D1" w:rsidP="000A64D1">
            <w:pPr>
              <w:pStyle w:val="ListBullet"/>
            </w:pPr>
            <w:r w:rsidRPr="000A64D1">
              <w:t>containment of pesticides</w:t>
            </w:r>
          </w:p>
          <w:p w:rsidR="00000000" w:rsidRPr="000A64D1" w:rsidP="000A64D1">
            <w:pPr>
              <w:pStyle w:val="ListBullet"/>
            </w:pPr>
            <w:r w:rsidRPr="000A64D1">
              <w:t>durability in normal working conditions</w:t>
            </w:r>
          </w:p>
          <w:p w:rsidR="00000000" w:rsidRPr="000A64D1" w:rsidP="000A64D1">
            <w:pPr>
              <w:pStyle w:val="ListBullet"/>
            </w:pPr>
            <w:r w:rsidRPr="000A64D1">
              <w:t>ease of cleaning</w:t>
            </w:r>
          </w:p>
          <w:p w:rsidR="00000000" w:rsidRPr="000A64D1" w:rsidP="000A64D1">
            <w:pPr>
              <w:pStyle w:val="ListBullet"/>
            </w:pPr>
            <w:r w:rsidRPr="000A64D1">
              <w:t>ease of use</w:t>
            </w:r>
          </w:p>
          <w:p w:rsidR="00000000" w:rsidRPr="000A64D1" w:rsidP="000A64D1">
            <w:pPr>
              <w:pStyle w:val="ListBullet"/>
            </w:pPr>
            <w:r w:rsidRPr="000A64D1">
              <w:t>maintenance costs</w:t>
            </w:r>
          </w:p>
          <w:p w:rsidR="00000000" w:rsidRPr="000A64D1" w:rsidP="000A64D1">
            <w:pPr>
              <w:pStyle w:val="ListBullet"/>
            </w:pPr>
            <w:r w:rsidRPr="000A64D1">
              <w:t>repair costs</w:t>
            </w:r>
          </w:p>
          <w:p w:rsidR="00000000" w:rsidRPr="000A64D1" w:rsidP="000A64D1">
            <w:pPr>
              <w:pStyle w:val="ListBullet"/>
            </w:pPr>
            <w:r w:rsidRPr="000A64D1">
              <w:t>safety</w:t>
            </w:r>
          </w:p>
          <w:p w:rsidR="00000000" w:rsidP="000A64D1">
            <w:pPr>
              <w:pStyle w:val="ListBullet"/>
              <w:rPr>
                <w:lang w:val="en-NZ"/>
              </w:rPr>
            </w:pPr>
            <w:r w:rsidRPr="000A64D1">
              <w:t>spray equipment</w:t>
            </w:r>
            <w:r w:rsidRPr="000A64D1">
              <w:t xml:space="preserve"> application rates.</w:t>
            </w:r>
          </w:p>
        </w:tc>
      </w:tr>
      <w:tr w:rsidTr="000A64D1">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17" w:type="dxa"/>
            <w:tcBorders>
              <w:top w:val="nil"/>
              <w:left w:val="nil"/>
              <w:bottom w:val="nil"/>
              <w:right w:val="nil"/>
            </w:tcBorders>
            <w:tcMar>
              <w:top w:w="0" w:type="dxa"/>
              <w:left w:w="62" w:type="dxa"/>
              <w:bottom w:w="0" w:type="dxa"/>
              <w:right w:w="62" w:type="dxa"/>
            </w:tcMar>
          </w:tcPr>
          <w:p w:rsidR="00000000" w:rsidP="000A64D1">
            <w:pPr>
              <w:pStyle w:val="BodyText"/>
              <w:rPr>
                <w:lang w:val="en-NZ"/>
              </w:rPr>
            </w:pPr>
          </w:p>
        </w:tc>
      </w:tr>
      <w:tr w:rsidTr="000A64D1">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rsidP="000A64D1">
            <w:pPr>
              <w:pStyle w:val="BodyText"/>
              <w:rPr>
                <w:lang w:val="en-NZ"/>
              </w:rPr>
            </w:pPr>
            <w:r w:rsidRPr="000A64D1">
              <w:rPr>
                <w:rStyle w:val="BoldandItalics"/>
              </w:rPr>
              <w:t>Estimation</w:t>
            </w:r>
            <w:r w:rsidRPr="000A64D1">
              <w:t xml:space="preserve"> must be based on one or more of the following:</w:t>
            </w:r>
          </w:p>
        </w:tc>
        <w:tc>
          <w:tcPr>
            <w:tcW w:w="6717" w:type="dxa"/>
            <w:tcBorders>
              <w:top w:val="nil"/>
              <w:left w:val="nil"/>
              <w:bottom w:val="nil"/>
              <w:right w:val="nil"/>
            </w:tcBorders>
            <w:tcMar>
              <w:top w:w="0" w:type="dxa"/>
              <w:left w:w="62" w:type="dxa"/>
              <w:bottom w:w="0" w:type="dxa"/>
              <w:right w:w="62" w:type="dxa"/>
            </w:tcMar>
          </w:tcPr>
          <w:p w:rsidR="00000000" w:rsidRPr="000A64D1" w:rsidP="000A64D1">
            <w:pPr>
              <w:pStyle w:val="ListBullet"/>
            </w:pPr>
            <w:r w:rsidRPr="000A64D1">
              <w:t>maintenance records</w:t>
            </w:r>
          </w:p>
          <w:p w:rsidR="00000000" w:rsidRPr="000A64D1" w:rsidP="000A64D1">
            <w:pPr>
              <w:pStyle w:val="ListBullet"/>
            </w:pPr>
            <w:r w:rsidRPr="000A64D1">
              <w:t>manufacturer specifications</w:t>
            </w:r>
          </w:p>
          <w:p w:rsidR="00000000" w:rsidRPr="000A64D1" w:rsidP="000A64D1">
            <w:pPr>
              <w:pStyle w:val="ListBullet"/>
            </w:pPr>
            <w:r w:rsidRPr="000A64D1">
              <w:t>previous experience</w:t>
            </w:r>
          </w:p>
          <w:p w:rsidR="00000000" w:rsidRPr="000A64D1" w:rsidP="000A64D1">
            <w:pPr>
              <w:pStyle w:val="ListBullet"/>
            </w:pPr>
            <w:r w:rsidRPr="000A64D1">
              <w:t>usage patterns.</w:t>
            </w:r>
          </w:p>
        </w:tc>
      </w:tr>
    </w:tbl>
    <w:p w:rsidR="00000000" w:rsidRPr="000A64D1" w:rsidP="000A64D1">
      <w:pPr>
        <w:pStyle w:val="BodyText"/>
      </w:pPr>
    </w:p>
    <w:p w:rsidR="00000000" w:rsidRPr="000A64D1" w:rsidP="000A64D1">
      <w:pPr>
        <w:pStyle w:val="AllowPageBreak"/>
      </w:pPr>
    </w:p>
    <w:p w:rsidR="00000000" w:rsidRPr="000A64D1" w:rsidP="000A64D1">
      <w:pPr>
        <w:pStyle w:val="Heading1"/>
      </w:pPr>
      <w:bookmarkStart w:id="8" w:name="O_749015"/>
      <w:bookmarkEnd w:id="8"/>
      <w:r w:rsidRPr="000A64D1">
        <w:t>Unit Mapping Information</w:t>
      </w:r>
    </w:p>
    <w:p w:rsidR="00000000" w:rsidRPr="000A64D1" w:rsidP="00230E4D">
      <w:pPr>
        <w:pStyle w:val="BodyText"/>
      </w:pPr>
      <w:r w:rsidRPr="000A64D1">
        <w:t>CPPPMT3026A Select and obtain pest management vehicles, equipment and materials</w:t>
      </w:r>
    </w:p>
    <w:p w:rsidR="00000000" w:rsidRPr="000A64D1" w:rsidP="000A64D1">
      <w:pPr>
        <w:pStyle w:val="Heading1"/>
      </w:pPr>
      <w:bookmarkStart w:id="9" w:name="O_749008"/>
      <w:bookmarkEnd w:id="9"/>
      <w:r w:rsidRPr="000A64D1">
        <w:t>Links</w:t>
      </w:r>
    </w:p>
    <w:p w:rsidR="00000000" w:rsidRPr="000A64D1" w:rsidP="00230E4D">
      <w:pPr>
        <w:pStyle w:val="BodyText"/>
      </w:pPr>
      <w:r w:rsidRPr="000A64D1">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1A2754">
        <w:rPr>
          <w:rStyle w:val="Hyperlink"/>
        </w:rPr>
        <w:t>https://vetnet.gov.au/Pages/TrainingDocs.aspx?q=6f3f9672-30e8-4835-b348-205dfcf13d9b</w:t>
      </w:r>
      <w:r>
        <w:fldChar w:fldCharType="end"/>
      </w:r>
    </w:p>
    <w:p w:rsidR="00000000" w:rsidRPr="000A64D1" w:rsidP="00230E4D">
      <w:pPr>
        <w:pStyle w:val="BodyText"/>
        <w:sectPr w:rsidSect="000A64D1">
          <w:headerReference w:type="default" r:id="rId10"/>
          <w:footerReference w:type="default" r:id="rId11"/>
          <w:pgSz w:w="11908" w:h="16833"/>
          <w:pgMar w:top="1702" w:right="1418" w:bottom="1702" w:left="1418" w:header="992" w:footer="992" w:gutter="0"/>
          <w:cols w:space="720"/>
          <w:noEndnote/>
          <w:docGrid w:linePitch="299"/>
        </w:sectPr>
      </w:pPr>
    </w:p>
    <w:p w:rsidR="00000000" w:rsidRPr="000A64D1" w:rsidP="000A64D1">
      <w:pPr>
        <w:pStyle w:val="SuperHeading"/>
      </w:pPr>
      <w:r w:rsidRPr="000A64D1">
        <w:t>Assessment Requirements for CPPPMT3026 Select pest management vehicle and equipment</w:t>
      </w:r>
    </w:p>
    <w:p w:rsidR="00000000" w:rsidRPr="000A64D1" w:rsidP="000A64D1">
      <w:pPr>
        <w:pStyle w:val="Heading1"/>
      </w:pPr>
      <w:bookmarkStart w:id="10" w:name="O_749010"/>
      <w:bookmarkEnd w:id="10"/>
      <w:r w:rsidRPr="000A64D1">
        <w:t>Modification History</w:t>
      </w:r>
    </w:p>
    <w:p w:rsidR="00000000" w:rsidRPr="000A64D1" w:rsidP="00230E4D">
      <w:pPr>
        <w:pStyle w:val="BodyText"/>
      </w:pPr>
      <w:r w:rsidRPr="000A64D1">
        <w:t>Release 1.</w:t>
      </w:r>
    </w:p>
    <w:p w:rsidR="00000000" w:rsidRPr="000A64D1" w:rsidP="00230E4D">
      <w:pPr>
        <w:pStyle w:val="BodyText"/>
      </w:pPr>
      <w:r w:rsidRPr="000A64D1">
        <w:t>Replaces superseded equivalent CPPPMT3026A Select and obtain pest management vehicles, equipment and materials.</w:t>
      </w:r>
    </w:p>
    <w:p w:rsidR="00000000" w:rsidRPr="000A64D1" w:rsidP="00230E4D">
      <w:pPr>
        <w:pStyle w:val="BodyText"/>
      </w:pPr>
      <w:r w:rsidRPr="000A64D1">
        <w:t>This version first released with CPP Property Services Training Package Version 2.</w:t>
      </w:r>
    </w:p>
    <w:p w:rsidR="00000000" w:rsidRPr="000A64D1" w:rsidP="000A64D1">
      <w:pPr>
        <w:pStyle w:val="Heading1"/>
      </w:pPr>
      <w:bookmarkStart w:id="11" w:name="O_749013"/>
      <w:bookmarkEnd w:id="11"/>
      <w:r w:rsidRPr="000A64D1">
        <w:t>Performance Evidence</w:t>
      </w:r>
    </w:p>
    <w:p w:rsidR="00000000" w:rsidRPr="000A64D1" w:rsidP="00230E4D">
      <w:pPr>
        <w:pStyle w:val="BodyText"/>
      </w:pPr>
      <w:r w:rsidRPr="000A64D1">
        <w:t>A person demonstrating</w:t>
      </w:r>
      <w:r w:rsidRPr="000A64D1">
        <w:t xml:space="preserve"> competency in this unit must satisfy all of the elements, performance criteria and foundation skills of this unit, and must identify pest management services for a minimum of two different pests to be delivered by the company, and select a vehicle and the</w:t>
      </w:r>
      <w:r w:rsidRPr="000A64D1">
        <w:t xml:space="preserve"> following types of equipment suitable for the delivery of the pest management services identified: </w:t>
      </w:r>
    </w:p>
    <w:p w:rsidR="00000000" w:rsidRPr="000A64D1" w:rsidP="000A64D1">
      <w:pPr>
        <w:pStyle w:val="ListBullet"/>
      </w:pPr>
      <w:r w:rsidRPr="000A64D1">
        <w:t>inspection equipment</w:t>
      </w:r>
    </w:p>
    <w:p w:rsidR="00000000" w:rsidRPr="000A64D1" w:rsidP="000A64D1">
      <w:pPr>
        <w:pStyle w:val="ListBullet"/>
      </w:pPr>
      <w:r w:rsidRPr="000A64D1">
        <w:t>lockable chemical storage cupboard</w:t>
      </w:r>
    </w:p>
    <w:p w:rsidR="00000000" w:rsidRPr="000A64D1" w:rsidP="000A64D1">
      <w:pPr>
        <w:pStyle w:val="ListBullet"/>
      </w:pPr>
      <w:r w:rsidRPr="000A64D1">
        <w:t>personal protective equipment</w:t>
      </w:r>
    </w:p>
    <w:p w:rsidR="00000000" w:rsidRPr="000A64D1" w:rsidP="000A64D1">
      <w:pPr>
        <w:pStyle w:val="ListBullet"/>
      </w:pPr>
      <w:r w:rsidRPr="000A64D1">
        <w:t>pesticide application equipment</w:t>
      </w:r>
    </w:p>
    <w:p w:rsidR="00000000" w:rsidRPr="000A64D1" w:rsidP="000A64D1">
      <w:pPr>
        <w:pStyle w:val="ListBullet"/>
      </w:pPr>
      <w:r w:rsidRPr="000A64D1">
        <w:t>pesticide measuring and mixing equipment</w:t>
      </w:r>
    </w:p>
    <w:p w:rsidR="00000000" w:rsidRPr="000A64D1" w:rsidP="000A64D1">
      <w:pPr>
        <w:pStyle w:val="ListBullet"/>
      </w:pPr>
      <w:r w:rsidRPr="000A64D1">
        <w:t>waste disposal containers.</w:t>
      </w:r>
    </w:p>
    <w:p w:rsidR="00000000" w:rsidRPr="000A64D1" w:rsidP="000A64D1">
      <w:pPr>
        <w:pStyle w:val="BodyText"/>
      </w:pPr>
    </w:p>
    <w:p w:rsidR="00000000" w:rsidRPr="000A64D1" w:rsidP="00230E4D">
      <w:pPr>
        <w:pStyle w:val="BodyText"/>
      </w:pPr>
      <w:r w:rsidRPr="000A64D1">
        <w:t>In doing the above, the person must also:</w:t>
      </w:r>
    </w:p>
    <w:p w:rsidR="00000000" w:rsidRPr="000A64D1" w:rsidP="000A64D1">
      <w:pPr>
        <w:pStyle w:val="ListBullet"/>
      </w:pPr>
      <w:r w:rsidRPr="000A64D1">
        <w:t>apply knowledge of hierarchy of hazard control</w:t>
      </w:r>
    </w:p>
    <w:p w:rsidR="00000000" w:rsidRPr="000A64D1" w:rsidP="000A64D1">
      <w:pPr>
        <w:pStyle w:val="ListBullet"/>
      </w:pPr>
      <w:r w:rsidRPr="000A64D1">
        <w:t xml:space="preserve">assess performance characteristics and suitability of equipment </w:t>
      </w:r>
    </w:p>
    <w:p w:rsidR="00000000" w:rsidRPr="000A64D1" w:rsidP="000A64D1">
      <w:pPr>
        <w:pStyle w:val="ListBullet"/>
      </w:pPr>
      <w:r w:rsidRPr="000A64D1">
        <w:t>comply with company and complian</w:t>
      </w:r>
      <w:r w:rsidRPr="000A64D1">
        <w:t>ce requirements</w:t>
      </w:r>
    </w:p>
    <w:p w:rsidR="00000000" w:rsidRPr="000A64D1" w:rsidP="000A64D1">
      <w:pPr>
        <w:pStyle w:val="ListBullet"/>
      </w:pPr>
      <w:r w:rsidRPr="000A64D1">
        <w:t>identify:</w:t>
      </w:r>
    </w:p>
    <w:p w:rsidR="00000000" w:rsidRPr="000A64D1" w:rsidP="000A64D1">
      <w:pPr>
        <w:pStyle w:val="ListBullet2"/>
      </w:pPr>
      <w:r w:rsidRPr="000A64D1">
        <w:t>hazards and risks associated with the pest management services</w:t>
      </w:r>
    </w:p>
    <w:p w:rsidR="00000000" w:rsidRPr="000A64D1" w:rsidP="000A64D1">
      <w:pPr>
        <w:pStyle w:val="ListBullet2"/>
      </w:pPr>
      <w:r w:rsidRPr="000A64D1">
        <w:t>vehicle capacities against intended use.</w:t>
      </w:r>
    </w:p>
    <w:p w:rsidR="00000000" w:rsidRPr="000A64D1" w:rsidP="000A64D1">
      <w:pPr>
        <w:pStyle w:val="AllowPageBreak"/>
      </w:pPr>
    </w:p>
    <w:p w:rsidR="00000000" w:rsidRPr="000A64D1" w:rsidP="000A64D1">
      <w:pPr>
        <w:pStyle w:val="Heading1"/>
      </w:pPr>
      <w:bookmarkStart w:id="12" w:name="O_749012"/>
      <w:bookmarkEnd w:id="12"/>
      <w:r w:rsidRPr="000A64D1">
        <w:t>Knowledge Evidence</w:t>
      </w:r>
    </w:p>
    <w:p w:rsidR="00000000" w:rsidRPr="000A64D1" w:rsidP="00230E4D">
      <w:pPr>
        <w:pStyle w:val="BodyText"/>
      </w:pPr>
      <w:r w:rsidRPr="000A64D1">
        <w:t>A person demonstrating competency in this unit must demonstrate knowledge of:</w:t>
      </w:r>
    </w:p>
    <w:p w:rsidR="00000000" w:rsidRPr="000A64D1" w:rsidP="000A64D1">
      <w:pPr>
        <w:pStyle w:val="ListBullet"/>
      </w:pPr>
      <w:r w:rsidRPr="000A64D1">
        <w:t>compliance requirements relevant to the pest management services to be delivered and the types of vehicle and equipment required to deliver those services</w:t>
      </w:r>
    </w:p>
    <w:p w:rsidR="00000000" w:rsidRPr="000A64D1" w:rsidP="000A64D1">
      <w:pPr>
        <w:pStyle w:val="ListBullet"/>
      </w:pPr>
      <w:r w:rsidRPr="000A64D1">
        <w:t>company procedures relevant to selecting pest management vehicles and equipment, including:</w:t>
      </w:r>
    </w:p>
    <w:p w:rsidR="00000000" w:rsidRPr="000A64D1" w:rsidP="000A64D1">
      <w:pPr>
        <w:pStyle w:val="ListBullet2"/>
      </w:pPr>
      <w:r w:rsidRPr="000A64D1">
        <w:t>document</w:t>
      </w:r>
      <w:r w:rsidRPr="000A64D1">
        <w:t>ation requirements</w:t>
      </w:r>
    </w:p>
    <w:p w:rsidR="00000000" w:rsidRPr="000A64D1" w:rsidP="000A64D1">
      <w:pPr>
        <w:pStyle w:val="ListBullet2"/>
      </w:pPr>
      <w:r w:rsidRPr="000A64D1">
        <w:t>emergency response procedures</w:t>
      </w:r>
    </w:p>
    <w:p w:rsidR="00000000" w:rsidRPr="000A64D1" w:rsidP="000A64D1">
      <w:pPr>
        <w:pStyle w:val="ListBullet2"/>
      </w:pPr>
      <w:r w:rsidRPr="000A64D1">
        <w:t>enterprise maintenance and servicing procedures</w:t>
      </w:r>
    </w:p>
    <w:p w:rsidR="00000000" w:rsidRPr="000A64D1" w:rsidP="000A64D1">
      <w:pPr>
        <w:pStyle w:val="ListBullet2"/>
      </w:pPr>
      <w:r w:rsidRPr="000A64D1">
        <w:t>environment protection procedures</w:t>
      </w:r>
    </w:p>
    <w:p w:rsidR="00000000" w:rsidRPr="000A64D1" w:rsidP="000A64D1">
      <w:pPr>
        <w:pStyle w:val="ListBullet2"/>
      </w:pPr>
      <w:r w:rsidRPr="000A64D1">
        <w:t>injury, dangerous occurrence and incident reporting</w:t>
      </w:r>
    </w:p>
    <w:p w:rsidR="00000000" w:rsidRPr="000A64D1" w:rsidP="000A64D1">
      <w:pPr>
        <w:pStyle w:val="ListBullet2"/>
      </w:pPr>
      <w:r w:rsidRPr="000A64D1">
        <w:t>health and safety procedures</w:t>
      </w:r>
    </w:p>
    <w:p w:rsidR="00000000" w:rsidRPr="000A64D1" w:rsidP="000A64D1">
      <w:pPr>
        <w:pStyle w:val="ListBullet2"/>
      </w:pPr>
      <w:r w:rsidRPr="000A64D1">
        <w:t>purchasing, hiring and leasing procedures</w:t>
      </w:r>
    </w:p>
    <w:p w:rsidR="00000000" w:rsidRPr="000A64D1" w:rsidP="000A64D1">
      <w:pPr>
        <w:pStyle w:val="ListBullet2"/>
      </w:pPr>
      <w:r w:rsidRPr="000A64D1">
        <w:t>wo</w:t>
      </w:r>
      <w:r w:rsidRPr="000A64D1">
        <w:t xml:space="preserve">rk documentation and reporting procedures </w:t>
      </w:r>
    </w:p>
    <w:p w:rsidR="00000000" w:rsidRPr="000A64D1" w:rsidP="000A64D1">
      <w:pPr>
        <w:pStyle w:val="ListBullet"/>
      </w:pPr>
      <w:r w:rsidRPr="000A64D1">
        <w:t>equipment and chemical types and functions suitable to the work specified in performance evidence</w:t>
      </w:r>
    </w:p>
    <w:p w:rsidR="00000000" w:rsidRPr="000A64D1" w:rsidP="000A64D1">
      <w:pPr>
        <w:pStyle w:val="ListBullet"/>
      </w:pPr>
      <w:r w:rsidRPr="000A64D1">
        <w:t>financing options for obtaining equipment, such as leasing, hiring or purchasing</w:t>
      </w:r>
    </w:p>
    <w:p w:rsidR="00000000" w:rsidRPr="000A64D1" w:rsidP="000A64D1">
      <w:pPr>
        <w:pStyle w:val="ListBullet"/>
      </w:pPr>
      <w:r w:rsidRPr="000A64D1">
        <w:t xml:space="preserve">hazards and risks associated with different types of equipment </w:t>
      </w:r>
    </w:p>
    <w:p w:rsidR="00000000" w:rsidRPr="000A64D1" w:rsidP="000A64D1">
      <w:pPr>
        <w:pStyle w:val="ListBullet"/>
      </w:pPr>
      <w:r w:rsidRPr="000A64D1">
        <w:t>product knowledge, including manufacturer specifications for equipment and products being used</w:t>
      </w:r>
    </w:p>
    <w:p w:rsidR="00000000" w:rsidRPr="000A64D1" w:rsidP="000A64D1">
      <w:pPr>
        <w:pStyle w:val="ListBullet"/>
      </w:pPr>
      <w:r w:rsidRPr="000A64D1">
        <w:t>sources of industry and product information relating to vehicles and equipment required for deliv</w:t>
      </w:r>
      <w:r w:rsidRPr="000A64D1">
        <w:t>ering pest management services</w:t>
      </w:r>
    </w:p>
    <w:p w:rsidR="00000000" w:rsidRPr="000A64D1" w:rsidP="000A64D1">
      <w:pPr>
        <w:pStyle w:val="ListBullet"/>
      </w:pPr>
      <w:r w:rsidRPr="000A64D1">
        <w:t>types of pests relevant to the area and their life cycles, habits and harbourages.</w:t>
      </w:r>
    </w:p>
    <w:p w:rsidR="00000000" w:rsidRPr="000A64D1" w:rsidP="000A64D1">
      <w:pPr>
        <w:pStyle w:val="AllowPageBreak"/>
      </w:pPr>
    </w:p>
    <w:p w:rsidR="00000000" w:rsidRPr="000A64D1" w:rsidP="000A64D1">
      <w:pPr>
        <w:pStyle w:val="Heading1"/>
      </w:pPr>
      <w:bookmarkStart w:id="13" w:name="O_749011"/>
      <w:bookmarkEnd w:id="13"/>
      <w:r w:rsidRPr="000A64D1">
        <w:t>Assessment Conditions</w:t>
      </w:r>
    </w:p>
    <w:p w:rsidR="00000000" w:rsidRPr="000A64D1" w:rsidP="00230E4D">
      <w:pPr>
        <w:pStyle w:val="BodyText"/>
      </w:pPr>
      <w:r w:rsidRPr="000A64D1">
        <w:t xml:space="preserve">Suitable assessment of performance requires: </w:t>
      </w:r>
    </w:p>
    <w:p w:rsidR="00000000" w:rsidRPr="000A64D1" w:rsidP="000A64D1">
      <w:pPr>
        <w:pStyle w:val="ListBullet"/>
      </w:pPr>
      <w:r w:rsidRPr="000A64D1">
        <w:t>equipment:</w:t>
      </w:r>
    </w:p>
    <w:p w:rsidR="00000000" w:rsidRPr="000A64D1" w:rsidP="000A64D1">
      <w:pPr>
        <w:pStyle w:val="ListBullet2"/>
      </w:pPr>
      <w:r w:rsidRPr="000A64D1">
        <w:t>telephone</w:t>
      </w:r>
    </w:p>
    <w:p w:rsidR="00000000" w:rsidRPr="000A64D1" w:rsidP="000A64D1">
      <w:pPr>
        <w:pStyle w:val="ListBullet2"/>
      </w:pPr>
      <w:r w:rsidRPr="000A64D1">
        <w:t>computer with internet access</w:t>
      </w:r>
    </w:p>
    <w:p w:rsidR="00000000" w:rsidRPr="000A64D1" w:rsidP="000A64D1">
      <w:pPr>
        <w:pStyle w:val="ListBullet"/>
      </w:pPr>
      <w:r w:rsidRPr="000A64D1">
        <w:t>specifications:</w:t>
      </w:r>
    </w:p>
    <w:p w:rsidR="00000000" w:rsidRPr="000A64D1" w:rsidP="000A64D1">
      <w:pPr>
        <w:pStyle w:val="ListBullet2"/>
      </w:pPr>
      <w:r w:rsidRPr="000A64D1">
        <w:t>company policies and procedures</w:t>
      </w:r>
    </w:p>
    <w:p w:rsidR="00000000" w:rsidRPr="000A64D1" w:rsidP="000A64D1">
      <w:pPr>
        <w:pStyle w:val="ListBullet2"/>
      </w:pPr>
      <w:r w:rsidRPr="000A64D1">
        <w:t>manufacturer specifications</w:t>
      </w:r>
    </w:p>
    <w:p w:rsidR="00000000" w:rsidRPr="000A64D1" w:rsidP="000A64D1">
      <w:pPr>
        <w:pStyle w:val="ListBullet2"/>
      </w:pPr>
      <w:r w:rsidRPr="000A64D1">
        <w:t>plain English guides to compliance requirements</w:t>
      </w:r>
    </w:p>
    <w:p w:rsidR="00000000" w:rsidRPr="000A64D1" w:rsidP="000A64D1">
      <w:pPr>
        <w:pStyle w:val="ListBullet2"/>
      </w:pPr>
      <w:r w:rsidRPr="000A64D1">
        <w:t xml:space="preserve">supplier information </w:t>
      </w:r>
    </w:p>
    <w:p w:rsidR="00000000" w:rsidRPr="000A64D1" w:rsidP="000A64D1">
      <w:pPr>
        <w:pStyle w:val="ListBullet"/>
      </w:pPr>
      <w:r w:rsidRPr="000A64D1">
        <w:t>relationships with team members and supervisor:</w:t>
      </w:r>
    </w:p>
    <w:p w:rsidR="00000000" w:rsidRPr="000A64D1" w:rsidP="000A64D1">
      <w:pPr>
        <w:pStyle w:val="ListBullet2"/>
      </w:pPr>
      <w:r w:rsidRPr="000A64D1">
        <w:t>work may be completed individually or in a team.</w:t>
      </w:r>
    </w:p>
    <w:p w:rsidR="00000000" w:rsidRPr="000A64D1" w:rsidP="000A64D1">
      <w:pPr>
        <w:pStyle w:val="BodyText"/>
      </w:pPr>
    </w:p>
    <w:p w:rsidR="00000000" w:rsidRPr="000A64D1" w:rsidP="00230E4D">
      <w:pPr>
        <w:pStyle w:val="Heading3"/>
      </w:pPr>
      <w:r w:rsidRPr="000A64D1">
        <w:rPr>
          <w:rStyle w:val="SpecialBold"/>
        </w:rPr>
        <w:t xml:space="preserve">Assessor </w:t>
      </w:r>
      <w:r w:rsidRPr="000A64D1">
        <w:rPr>
          <w:rStyle w:val="SpecialBold"/>
        </w:rPr>
        <w:t>requirements</w:t>
      </w:r>
    </w:p>
    <w:p w:rsidR="00000000" w:rsidRPr="000A64D1" w:rsidP="00230E4D">
      <w:pPr>
        <w:pStyle w:val="BodyText"/>
      </w:pPr>
      <w:r w:rsidRPr="000A64D1">
        <w:t xml:space="preserve">As a minimum, assessors must satisfy the assessor requirements in the Standards for Registered Training Organisations (RTOs) current at the time of assessment. </w:t>
      </w:r>
    </w:p>
    <w:p w:rsidR="00000000" w:rsidRPr="000A64D1" w:rsidP="000A64D1">
      <w:pPr>
        <w:pStyle w:val="Heading1"/>
      </w:pPr>
      <w:bookmarkStart w:id="14" w:name="O_749009"/>
      <w:bookmarkEnd w:id="14"/>
      <w:r w:rsidRPr="000A64D1">
        <w:t>Links</w:t>
      </w:r>
    </w:p>
    <w:p w:rsidR="00000000" w:rsidRPr="000A64D1" w:rsidP="00230E4D">
      <w:pPr>
        <w:pStyle w:val="BodyText"/>
      </w:pPr>
      <w:r w:rsidRPr="000A64D1">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1A2754">
        <w:rPr>
          <w:rStyle w:val="Hyperlink"/>
        </w:rPr>
        <w:t>https://vetnet.gov.au/Pages/TrainingDocs.aspx?q=6f3f9672-30e8-4835-b348-205dfcf13d9b</w:t>
      </w:r>
      <w:r>
        <w:fldChar w:fldCharType="end"/>
      </w:r>
    </w:p>
    <w:p w:rsidR="00000000" w:rsidRPr="000A64D1" w:rsidP="000A64D1"/>
    <w:sectPr w:rsidSect="000A64D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4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4D1" w:rsidRPr="00230E4D" w:rsidP="00230E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4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E4D" w:rsidP="000A64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30E4D" w:rsidP="000A64D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230E4D" w:rsidP="000A64D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4D1" w:rsidP="000A64D1">
    <w:pPr>
      <w:pStyle w:val="Footer"/>
      <w:framePr w:wrap="around"/>
    </w:pPr>
    <w:r>
      <w:fldChar w:fldCharType="begin"/>
    </w:r>
    <w:r>
      <w:instrText xml:space="preserve"> DOCPROPERTY  Subject  \* MERGEFORMAT </w:instrText>
    </w:r>
    <w:r>
      <w:fldChar w:fldCharType="separate"/>
    </w:r>
    <w:r w:rsidR="00230E4D">
      <w:t>Approved</w:t>
    </w:r>
    <w:r w:rsidR="00230E4D">
      <w:fldChar w:fldCharType="end"/>
    </w:r>
    <w:r>
      <w:tab/>
      <w:t xml:space="preserve">Page </w:t>
    </w:r>
    <w:r>
      <w:fldChar w:fldCharType="begin"/>
    </w:r>
    <w:r>
      <w:instrText xml:space="preserve"> PAGE  \* Arabic  \* MERGEFORMAT </w:instrText>
    </w:r>
    <w:r>
      <w:fldChar w:fldCharType="separate"/>
    </w:r>
    <w:r w:rsidR="00230E4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30E4D">
      <w:rPr>
        <w:noProof/>
      </w:rPr>
      <w:t>6</w:t>
    </w:r>
    <w:r>
      <w:rPr>
        <w:noProof/>
      </w:rPr>
      <w:fldChar w:fldCharType="end"/>
    </w:r>
  </w:p>
  <w:p w:rsidR="000A64D1" w:rsidP="000A64D1">
    <w:pPr>
      <w:pStyle w:val="Footer"/>
      <w:framePr w:wrap="around"/>
    </w:pPr>
    <w:r>
      <w:t xml:space="preserve">© Commonwealth of Australia, </w:t>
    </w:r>
    <w:r>
      <w:fldChar w:fldCharType="begin"/>
    </w:r>
    <w:r>
      <w:instrText xml:space="preserve"> DATE  \@ "yyyy"  \* MERGEFORMAT </w:instrText>
    </w:r>
    <w:r>
      <w:fldChar w:fldCharType="separate"/>
    </w:r>
    <w:r w:rsidR="00230E4D">
      <w:rPr>
        <w:noProof/>
      </w:rPr>
      <w:t>2025</w:t>
    </w:r>
    <w:r>
      <w:fldChar w:fldCharType="end"/>
    </w:r>
    <w:r>
      <w:tab/>
    </w:r>
    <w:r>
      <w:fldChar w:fldCharType="begin"/>
    </w:r>
    <w:r>
      <w:instrText xml:space="preserve"> DOCPROPERTY  Author  \* MERGEFORMAT </w:instrText>
    </w:r>
    <w:r>
      <w:fldChar w:fldCharType="separate"/>
    </w:r>
    <w:r w:rsidR="00230E4D">
      <w:t>BuildSkills Australia</w:t>
    </w:r>
    <w:r w:rsidR="00230E4D">
      <w:fldChar w:fldCharType="end"/>
    </w:r>
  </w:p>
  <w:p w:rsidR="000A64D1" w:rsidP="000A64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4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E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64D1" w:rsidRPr="00230E4D" w:rsidP="00230E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4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E4D" w:rsidRPr="002D2AF8" w:rsidP="000A64D1">
    <w:pPr>
      <w:pStyle w:val="Header"/>
      <w:framePr w:wrap="around"/>
    </w:pPr>
    <w:r>
      <w:fldChar w:fldCharType="begin"/>
    </w:r>
    <w:r>
      <w:instrText xml:space="preserve"> TITLE   \* MERGEFORMAT </w:instrText>
    </w:r>
    <w:r>
      <w:fldChar w:fldCharType="separate"/>
    </w:r>
    <w:r>
      <w:t>CPPPMT3026 Select pest management vehicle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30E4D" w:rsidP="000A64D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4D1" w:rsidRPr="002D2AF8" w:rsidP="000A64D1">
    <w:pPr>
      <w:pStyle w:val="Header"/>
      <w:framePr w:wrap="around"/>
    </w:pPr>
    <w:r>
      <w:fldChar w:fldCharType="begin"/>
    </w:r>
    <w:r>
      <w:instrText xml:space="preserve"> TITLE   \* MERGEFORMAT </w:instrText>
    </w:r>
    <w:r>
      <w:fldChar w:fldCharType="separate"/>
    </w:r>
    <w:r w:rsidR="00230E4D">
      <w:t>CPPPMT3026 Select pest management vehicle and equipment</w:t>
    </w:r>
    <w:r w:rsidR="00230E4D">
      <w:fldChar w:fldCharType="end"/>
    </w:r>
    <w:r>
      <w:tab/>
      <w:t xml:space="preserve">Date this document was generated: </w:t>
    </w:r>
    <w:r>
      <w:fldChar w:fldCharType="begin"/>
    </w:r>
    <w:r>
      <w:instrText xml:space="preserve"> CREATEDATE  \@ "d MMMM yyyy"  \* MERGEFORMAT </w:instrText>
    </w:r>
    <w:r>
      <w:fldChar w:fldCharType="separate"/>
    </w:r>
    <w:r w:rsidR="00230E4D">
      <w:rPr>
        <w:noProof/>
      </w:rPr>
      <w:t>2 March 2025</w:t>
    </w:r>
    <w:r>
      <w:fldChar w:fldCharType="end"/>
    </w:r>
  </w:p>
  <w:p w:rsidR="000A64D1" w:rsidP="000A64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06BD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C8E3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F8CC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64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64D1"/>
    <w:pPr>
      <w:spacing w:before="360" w:after="60"/>
      <w:outlineLvl w:val="0"/>
    </w:pPr>
    <w:rPr>
      <w:sz w:val="32"/>
    </w:rPr>
  </w:style>
  <w:style w:type="paragraph" w:styleId="Heading2">
    <w:name w:val="heading 2"/>
    <w:basedOn w:val="HeadingBase"/>
    <w:next w:val="BodyText"/>
    <w:link w:val="Heading2Char"/>
    <w:qFormat/>
    <w:rsid w:val="000A64D1"/>
    <w:pPr>
      <w:keepLines/>
      <w:spacing w:before="240" w:after="120"/>
      <w:outlineLvl w:val="1"/>
    </w:pPr>
    <w:rPr>
      <w:sz w:val="28"/>
      <w:szCs w:val="40"/>
    </w:rPr>
  </w:style>
  <w:style w:type="paragraph" w:styleId="Heading3">
    <w:name w:val="heading 3"/>
    <w:basedOn w:val="HeadingBase"/>
    <w:next w:val="BodyText"/>
    <w:link w:val="Heading3Char"/>
    <w:qFormat/>
    <w:rsid w:val="000A64D1"/>
    <w:pPr>
      <w:spacing w:before="180" w:after="120"/>
      <w:outlineLvl w:val="2"/>
    </w:pPr>
    <w:rPr>
      <w:spacing w:val="-10"/>
      <w:kern w:val="32"/>
    </w:rPr>
  </w:style>
  <w:style w:type="paragraph" w:styleId="Heading4">
    <w:name w:val="heading 4"/>
    <w:basedOn w:val="HeadingBase"/>
    <w:next w:val="BodyText"/>
    <w:link w:val="Heading4Char"/>
    <w:qFormat/>
    <w:rsid w:val="000A64D1"/>
    <w:pPr>
      <w:spacing w:before="160" w:after="120"/>
      <w:outlineLvl w:val="3"/>
    </w:pPr>
    <w:rPr>
      <w:sz w:val="22"/>
    </w:rPr>
  </w:style>
  <w:style w:type="paragraph" w:styleId="Heading5">
    <w:name w:val="heading 5"/>
    <w:basedOn w:val="HeadingBase"/>
    <w:next w:val="Normal"/>
    <w:link w:val="Heading5Char"/>
    <w:qFormat/>
    <w:rsid w:val="000A64D1"/>
    <w:pPr>
      <w:spacing w:before="80"/>
      <w:outlineLvl w:val="4"/>
    </w:pPr>
    <w:rPr>
      <w:color w:val="918585"/>
      <w:sz w:val="20"/>
    </w:rPr>
  </w:style>
  <w:style w:type="paragraph" w:styleId="Heading6">
    <w:name w:val="heading 6"/>
    <w:basedOn w:val="HeadingBase"/>
    <w:next w:val="Normal"/>
    <w:link w:val="Heading6Char"/>
    <w:qFormat/>
    <w:rsid w:val="000A64D1"/>
    <w:pPr>
      <w:spacing w:before="60"/>
      <w:outlineLvl w:val="5"/>
    </w:pPr>
    <w:rPr>
      <w:color w:val="918585"/>
      <w:sz w:val="20"/>
    </w:rPr>
  </w:style>
  <w:style w:type="paragraph" w:styleId="Heading7">
    <w:name w:val="heading 7"/>
    <w:basedOn w:val="Normal"/>
    <w:next w:val="Normal"/>
    <w:link w:val="Heading7Char"/>
    <w:qFormat/>
    <w:rsid w:val="000A64D1"/>
    <w:pPr>
      <w:ind w:left="720"/>
      <w:outlineLvl w:val="6"/>
    </w:pPr>
    <w:rPr>
      <w:i/>
    </w:rPr>
  </w:style>
  <w:style w:type="paragraph" w:styleId="Heading8">
    <w:name w:val="heading 8"/>
    <w:basedOn w:val="Normal"/>
    <w:next w:val="Normal"/>
    <w:link w:val="Heading8Char"/>
    <w:qFormat/>
    <w:rsid w:val="000A64D1"/>
    <w:pPr>
      <w:ind w:left="720"/>
      <w:outlineLvl w:val="7"/>
    </w:pPr>
    <w:rPr>
      <w:i/>
    </w:rPr>
  </w:style>
  <w:style w:type="paragraph" w:styleId="Heading9">
    <w:name w:val="heading 9"/>
    <w:basedOn w:val="Normal"/>
    <w:next w:val="Normal"/>
    <w:link w:val="Heading9Char"/>
    <w:qFormat/>
    <w:rsid w:val="000A64D1"/>
    <w:pPr>
      <w:ind w:left="720"/>
      <w:outlineLvl w:val="8"/>
    </w:pPr>
    <w:rPr>
      <w:i/>
    </w:rPr>
  </w:style>
  <w:style w:type="character" w:default="1" w:styleId="DefaultParagraphFont">
    <w:name w:val="Default Paragraph Font"/>
    <w:uiPriority w:val="1"/>
    <w:unhideWhenUsed/>
    <w:rsid w:val="000A64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64D1"/>
  </w:style>
  <w:style w:type="character" w:customStyle="1" w:styleId="Heading1Char">
    <w:name w:val="Heading 1 Char"/>
    <w:basedOn w:val="DefaultParagraphFont"/>
    <w:link w:val="Heading1"/>
    <w:rsid w:val="000A64D1"/>
    <w:rPr>
      <w:rFonts w:ascii="Times New Roman" w:eastAsia="Times New Roman" w:hAnsi="Times New Roman" w:cs="Times New Roman"/>
      <w:b/>
      <w:sz w:val="32"/>
      <w:szCs w:val="20"/>
      <w:lang w:eastAsia="en-US"/>
    </w:rPr>
  </w:style>
  <w:style w:type="paragraph" w:styleId="BodyText">
    <w:name w:val="Body Text"/>
    <w:basedOn w:val="Normal"/>
    <w:link w:val="BodyTextChar"/>
    <w:rsid w:val="000A64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64D1"/>
    <w:rPr>
      <w:rFonts w:ascii="Times New Roman" w:eastAsia="Times New Roman" w:hAnsi="Times New Roman" w:cs="Times New Roman"/>
      <w:sz w:val="24"/>
      <w:lang w:eastAsia="en-US"/>
    </w:rPr>
  </w:style>
  <w:style w:type="paragraph" w:styleId="ListBullet">
    <w:name w:val="List Bullet"/>
    <w:basedOn w:val="List"/>
    <w:rsid w:val="000A64D1"/>
    <w:pPr>
      <w:numPr>
        <w:numId w:val="12"/>
      </w:numPr>
      <w:tabs>
        <w:tab w:val="clear" w:pos="340"/>
      </w:tabs>
      <w:spacing w:before="40" w:after="40"/>
    </w:pPr>
  </w:style>
  <w:style w:type="character" w:customStyle="1" w:styleId="SpecialBold">
    <w:name w:val="Special Bold"/>
    <w:basedOn w:val="DefaultParagraphFont"/>
    <w:rsid w:val="000A64D1"/>
    <w:rPr>
      <w:b/>
      <w:spacing w:val="0"/>
    </w:rPr>
  </w:style>
  <w:style w:type="paragraph" w:styleId="ListBullet2">
    <w:name w:val="List Bullet 2"/>
    <w:basedOn w:val="List2"/>
    <w:rsid w:val="000A64D1"/>
    <w:pPr>
      <w:numPr>
        <w:numId w:val="13"/>
      </w:numPr>
      <w:tabs>
        <w:tab w:val="clear" w:pos="680"/>
      </w:tabs>
    </w:pPr>
  </w:style>
  <w:style w:type="paragraph" w:customStyle="1" w:styleId="SuperHeading">
    <w:name w:val="SuperHeading"/>
    <w:basedOn w:val="Normal"/>
    <w:rsid w:val="000A64D1"/>
    <w:pPr>
      <w:spacing w:before="240" w:after="120"/>
      <w:outlineLvl w:val="0"/>
    </w:pPr>
    <w:rPr>
      <w:rFonts w:ascii="Times New Roman" w:hAnsi="Times New Roman"/>
      <w:b/>
      <w:sz w:val="32"/>
    </w:rPr>
  </w:style>
  <w:style w:type="paragraph" w:customStyle="1" w:styleId="AllowPageBreak">
    <w:name w:val="AllowPageBreak"/>
    <w:rsid w:val="000A64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A64D1"/>
    <w:rPr>
      <w:b/>
      <w:i/>
      <w:u w:val="none"/>
    </w:rPr>
  </w:style>
  <w:style w:type="character" w:customStyle="1" w:styleId="Heading2Char">
    <w:name w:val="Heading 2 Char"/>
    <w:basedOn w:val="DefaultParagraphFont"/>
    <w:link w:val="Heading2"/>
    <w:rsid w:val="000A64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64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64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64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64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64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64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64D1"/>
    <w:rPr>
      <w:rFonts w:ascii="Courier New" w:eastAsia="Times New Roman" w:hAnsi="Courier New" w:cs="Times New Roman"/>
      <w:i/>
      <w:szCs w:val="20"/>
      <w:lang w:eastAsia="en-US"/>
    </w:rPr>
  </w:style>
  <w:style w:type="paragraph" w:customStyle="1" w:styleId="HeadingBase">
    <w:name w:val="Heading Base"/>
    <w:rsid w:val="000A64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64D1"/>
    <w:pPr>
      <w:tabs>
        <w:tab w:val="right" w:leader="dot" w:pos="9072"/>
      </w:tabs>
      <w:ind w:left="567"/>
    </w:pPr>
    <w:rPr>
      <w:szCs w:val="22"/>
    </w:rPr>
  </w:style>
  <w:style w:type="paragraph" w:customStyle="1" w:styleId="TOCBase">
    <w:name w:val="TOC Base"/>
    <w:rsid w:val="000A64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64D1"/>
    <w:pPr>
      <w:tabs>
        <w:tab w:val="right" w:leader="dot" w:pos="9072"/>
      </w:tabs>
      <w:spacing w:before="40" w:after="40"/>
      <w:ind w:left="284"/>
    </w:pPr>
    <w:rPr>
      <w:rFonts w:ascii="Times New Roman" w:hAnsi="Times New Roman"/>
    </w:rPr>
  </w:style>
  <w:style w:type="paragraph" w:styleId="TOC1">
    <w:name w:val="toc 1"/>
    <w:basedOn w:val="TOCBase"/>
    <w:next w:val="Normal"/>
    <w:rsid w:val="000A64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64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64D1"/>
    <w:rPr>
      <w:rFonts w:ascii="Times New Roman" w:eastAsia="Times New Roman" w:hAnsi="Times New Roman" w:cs="Times New Roman"/>
      <w:sz w:val="16"/>
      <w:lang w:eastAsia="en-US"/>
    </w:rPr>
  </w:style>
  <w:style w:type="paragraph" w:styleId="Title">
    <w:name w:val="Title"/>
    <w:basedOn w:val="HeadingBase"/>
    <w:link w:val="TitleChar"/>
    <w:qFormat/>
    <w:rsid w:val="000A64D1"/>
    <w:pPr>
      <w:spacing w:before="5040"/>
      <w:jc w:val="center"/>
    </w:pPr>
    <w:rPr>
      <w:sz w:val="48"/>
      <w:szCs w:val="72"/>
      <w:lang w:val="en-US"/>
    </w:rPr>
  </w:style>
  <w:style w:type="character" w:customStyle="1" w:styleId="TitleChar">
    <w:name w:val="Title Char"/>
    <w:basedOn w:val="DefaultParagraphFont"/>
    <w:link w:val="Title"/>
    <w:rsid w:val="000A64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64D1"/>
    <w:pPr>
      <w:tabs>
        <w:tab w:val="left" w:pos="3600"/>
        <w:tab w:val="left" w:pos="3958"/>
      </w:tabs>
    </w:pPr>
  </w:style>
  <w:style w:type="paragraph" w:styleId="List">
    <w:name w:val="List"/>
    <w:basedOn w:val="BodyText"/>
    <w:next w:val="BodyText"/>
    <w:rsid w:val="000A64D1"/>
    <w:pPr>
      <w:tabs>
        <w:tab w:val="left" w:pos="340"/>
      </w:tabs>
      <w:spacing w:before="60" w:after="60"/>
      <w:ind w:left="340" w:hanging="340"/>
    </w:pPr>
  </w:style>
  <w:style w:type="paragraph" w:customStyle="1" w:styleId="Note">
    <w:name w:val="Note"/>
    <w:basedOn w:val="BodyText"/>
    <w:rsid w:val="000A64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64D1"/>
    <w:pPr>
      <w:framePr w:wrap="auto" w:hAnchor="text" w:y="6049"/>
    </w:pPr>
    <w:rPr>
      <w:color w:val="000000"/>
      <w:sz w:val="40"/>
    </w:rPr>
  </w:style>
  <w:style w:type="paragraph" w:customStyle="1" w:styleId="TOCTitle">
    <w:name w:val="TOCTitle"/>
    <w:basedOn w:val="Heading1"/>
    <w:rsid w:val="000A64D1"/>
    <w:pPr>
      <w:spacing w:after="240"/>
      <w:jc w:val="center"/>
      <w:outlineLvl w:val="9"/>
    </w:pPr>
    <w:rPr>
      <w:caps/>
    </w:rPr>
  </w:style>
  <w:style w:type="paragraph" w:customStyle="1" w:styleId="Version">
    <w:name w:val="Version"/>
    <w:rsid w:val="000A64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64D1"/>
    <w:pPr>
      <w:keepNext w:val="0"/>
      <w:tabs>
        <w:tab w:val="right" w:pos="4176"/>
      </w:tabs>
      <w:ind w:left="198" w:hanging="198"/>
    </w:pPr>
    <w:rPr>
      <w:rFonts w:ascii="Garamond" w:hAnsi="Garamond"/>
    </w:rPr>
  </w:style>
  <w:style w:type="paragraph" w:styleId="IndexHeading">
    <w:name w:val="index heading"/>
    <w:basedOn w:val="Normal"/>
    <w:next w:val="Index1"/>
    <w:semiHidden/>
    <w:rsid w:val="000A64D1"/>
    <w:pPr>
      <w:spacing w:before="120" w:after="120"/>
    </w:pPr>
    <w:rPr>
      <w:rFonts w:ascii="Arial" w:hAnsi="Arial"/>
      <w:b/>
      <w:color w:val="918585"/>
      <w:sz w:val="24"/>
    </w:rPr>
  </w:style>
  <w:style w:type="paragraph" w:styleId="Header">
    <w:name w:val="header"/>
    <w:basedOn w:val="Normal"/>
    <w:link w:val="HeaderChar"/>
    <w:rsid w:val="000A64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64D1"/>
    <w:rPr>
      <w:rFonts w:ascii="Times New Roman" w:eastAsia="Times New Roman" w:hAnsi="Times New Roman" w:cs="Times New Roman"/>
      <w:sz w:val="16"/>
      <w:szCs w:val="20"/>
      <w:lang w:val="en-GB" w:eastAsia="en-US"/>
    </w:rPr>
  </w:style>
  <w:style w:type="paragraph" w:customStyle="1" w:styleId="Chapter">
    <w:name w:val="Chapter"/>
    <w:basedOn w:val="Normal"/>
    <w:rsid w:val="000A64D1"/>
    <w:pPr>
      <w:spacing w:before="240"/>
    </w:pPr>
    <w:rPr>
      <w:rFonts w:ascii="Times New Roman" w:hAnsi="Times New Roman"/>
      <w:smallCaps/>
      <w:spacing w:val="80"/>
      <w:sz w:val="28"/>
    </w:rPr>
  </w:style>
  <w:style w:type="paragraph" w:customStyle="1" w:styleId="InChapter">
    <w:name w:val="InChapter"/>
    <w:basedOn w:val="Heading3"/>
    <w:rsid w:val="000A64D1"/>
    <w:pPr>
      <w:spacing w:after="240"/>
      <w:outlineLvl w:val="9"/>
    </w:pPr>
    <w:rPr>
      <w:noProof/>
    </w:rPr>
  </w:style>
  <w:style w:type="paragraph" w:styleId="Index2">
    <w:name w:val="index 2"/>
    <w:basedOn w:val="Normal"/>
    <w:next w:val="Normal"/>
    <w:semiHidden/>
    <w:rsid w:val="000A64D1"/>
    <w:pPr>
      <w:tabs>
        <w:tab w:val="right" w:pos="4176"/>
      </w:tabs>
      <w:ind w:left="568" w:hanging="284"/>
    </w:pPr>
    <w:rPr>
      <w:rFonts w:ascii="Garamond" w:hAnsi="Garamond"/>
    </w:rPr>
  </w:style>
  <w:style w:type="paragraph" w:customStyle="1" w:styleId="Byline">
    <w:name w:val="Byline"/>
    <w:rsid w:val="000A64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64D1"/>
    <w:pPr>
      <w:tabs>
        <w:tab w:val="clear" w:pos="3600"/>
        <w:tab w:val="clear" w:pos="3958"/>
      </w:tabs>
      <w:jc w:val="right"/>
    </w:pPr>
  </w:style>
  <w:style w:type="character" w:styleId="Emphasis">
    <w:name w:val="Emphasis"/>
    <w:basedOn w:val="DefaultParagraphFont"/>
    <w:qFormat/>
    <w:rsid w:val="000A64D1"/>
    <w:rPr>
      <w:i/>
    </w:rPr>
  </w:style>
  <w:style w:type="paragraph" w:styleId="Caption">
    <w:name w:val="caption"/>
    <w:basedOn w:val="BodyText"/>
    <w:next w:val="Normal"/>
    <w:qFormat/>
    <w:rsid w:val="000A64D1"/>
    <w:pPr>
      <w:framePr w:w="2268" w:hSpace="181" w:vSpace="181" w:wrap="around" w:vAnchor="text" w:hAnchor="page" w:x="1135" w:y="285" w:anchorLock="1"/>
    </w:pPr>
    <w:rPr>
      <w:i/>
    </w:rPr>
  </w:style>
  <w:style w:type="paragraph" w:customStyle="1" w:styleId="MiniTOCTitle">
    <w:name w:val="MiniTOCTitle"/>
    <w:basedOn w:val="Heading4"/>
    <w:rsid w:val="000A64D1"/>
    <w:pPr>
      <w:spacing w:before="240"/>
      <w:outlineLvl w:val="9"/>
    </w:pPr>
    <w:rPr>
      <w:noProof/>
      <w:sz w:val="24"/>
    </w:rPr>
  </w:style>
  <w:style w:type="paragraph" w:customStyle="1" w:styleId="MiniTOCItem">
    <w:name w:val="MiniTOCItem"/>
    <w:basedOn w:val="ListBullet"/>
    <w:rsid w:val="000A64D1"/>
    <w:pPr>
      <w:numPr>
        <w:numId w:val="0"/>
      </w:numPr>
      <w:tabs>
        <w:tab w:val="right" w:leader="dot" w:pos="6521"/>
      </w:tabs>
      <w:spacing w:before="0" w:after="0"/>
    </w:pPr>
  </w:style>
  <w:style w:type="paragraph" w:customStyle="1" w:styleId="TOFTitle">
    <w:name w:val="TOFTitle"/>
    <w:basedOn w:val="TOCTitle"/>
    <w:rsid w:val="000A64D1"/>
  </w:style>
  <w:style w:type="paragraph" w:styleId="TableofFigures">
    <w:name w:val="table of figures"/>
    <w:basedOn w:val="Normal"/>
    <w:next w:val="Normal"/>
    <w:semiHidden/>
    <w:rsid w:val="000A64D1"/>
    <w:pPr>
      <w:tabs>
        <w:tab w:val="right" w:leader="dot" w:pos="9072"/>
      </w:tabs>
      <w:ind w:left="970" w:hanging="403"/>
    </w:pPr>
    <w:rPr>
      <w:rFonts w:ascii="Times New Roman" w:hAnsi="Times New Roman"/>
      <w:b/>
    </w:rPr>
  </w:style>
  <w:style w:type="paragraph" w:styleId="ListNumber">
    <w:name w:val="List Number"/>
    <w:basedOn w:val="List"/>
    <w:rsid w:val="000A64D1"/>
    <w:pPr>
      <w:numPr>
        <w:numId w:val="15"/>
      </w:numPr>
      <w:tabs>
        <w:tab w:val="clear" w:pos="340"/>
      </w:tabs>
    </w:pPr>
  </w:style>
  <w:style w:type="character" w:customStyle="1" w:styleId="WingdingSymbols">
    <w:name w:val="Wingding Symbols"/>
    <w:rsid w:val="000A64D1"/>
    <w:rPr>
      <w:rFonts w:ascii="Wingdings" w:hAnsi="Wingdings"/>
    </w:rPr>
  </w:style>
  <w:style w:type="paragraph" w:customStyle="1" w:styleId="TableHeading">
    <w:name w:val="Table Heading"/>
    <w:basedOn w:val="HeadingBase"/>
    <w:rsid w:val="000A64D1"/>
    <w:pPr>
      <w:keepLines/>
      <w:pBdr>
        <w:bottom w:val="single" w:sz="6" w:space="1" w:color="918585"/>
      </w:pBdr>
      <w:spacing w:before="240"/>
    </w:pPr>
  </w:style>
  <w:style w:type="character" w:customStyle="1" w:styleId="HotSpot">
    <w:name w:val="HotSpot"/>
    <w:rsid w:val="000A64D1"/>
    <w:rPr>
      <w:color w:val="0033CC"/>
      <w:u w:val="none"/>
    </w:rPr>
  </w:style>
  <w:style w:type="paragraph" w:customStyle="1" w:styleId="BodyTextRight">
    <w:name w:val="Body Text Right"/>
    <w:basedOn w:val="BodyText"/>
    <w:rsid w:val="000A64D1"/>
    <w:pPr>
      <w:spacing w:before="0" w:after="0"/>
      <w:jc w:val="right"/>
    </w:pPr>
  </w:style>
  <w:style w:type="paragraph" w:styleId="Index3">
    <w:name w:val="index 3"/>
    <w:basedOn w:val="ListNumber2"/>
    <w:next w:val="Normal"/>
    <w:semiHidden/>
    <w:rsid w:val="000A64D1"/>
    <w:pPr>
      <w:numPr>
        <w:numId w:val="0"/>
      </w:numPr>
      <w:tabs>
        <w:tab w:val="right" w:leader="dot" w:pos="4176"/>
      </w:tabs>
    </w:pPr>
  </w:style>
  <w:style w:type="paragraph" w:styleId="ListNumber2">
    <w:name w:val="List Number 2"/>
    <w:basedOn w:val="List2"/>
    <w:rsid w:val="000A64D1"/>
    <w:pPr>
      <w:numPr>
        <w:numId w:val="10"/>
      </w:numPr>
      <w:tabs>
        <w:tab w:val="clear" w:pos="1060"/>
      </w:tabs>
    </w:pPr>
  </w:style>
  <w:style w:type="paragraph" w:customStyle="1" w:styleId="MarginNote">
    <w:name w:val="Margin Note"/>
    <w:basedOn w:val="BodyText"/>
    <w:rsid w:val="000A64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64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64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64D1"/>
    <w:rPr>
      <w:sz w:val="32"/>
    </w:rPr>
  </w:style>
  <w:style w:type="paragraph" w:customStyle="1" w:styleId="HeadingProcedure">
    <w:name w:val="Heading Procedure"/>
    <w:basedOn w:val="HeadingBase"/>
    <w:next w:val="Normal"/>
    <w:rsid w:val="000A64D1"/>
    <w:pPr>
      <w:tabs>
        <w:tab w:val="left" w:pos="0"/>
      </w:tabs>
      <w:spacing w:before="120" w:after="60"/>
    </w:pPr>
    <w:rPr>
      <w:i/>
      <w:color w:val="918585"/>
      <w:sz w:val="22"/>
    </w:rPr>
  </w:style>
  <w:style w:type="paragraph" w:customStyle="1" w:styleId="TableBodyText">
    <w:name w:val="Table Body Text"/>
    <w:basedOn w:val="BodyText"/>
    <w:rsid w:val="000A64D1"/>
    <w:pPr>
      <w:spacing w:before="60" w:after="60"/>
    </w:pPr>
  </w:style>
  <w:style w:type="paragraph" w:styleId="ListContinue">
    <w:name w:val="List Continue"/>
    <w:basedOn w:val="List"/>
    <w:rsid w:val="000A64D1"/>
    <w:pPr>
      <w:ind w:firstLine="0"/>
    </w:pPr>
  </w:style>
  <w:style w:type="paragraph" w:customStyle="1" w:styleId="ListNote">
    <w:name w:val="List Note"/>
    <w:basedOn w:val="List"/>
    <w:rsid w:val="000A64D1"/>
    <w:pPr>
      <w:pBdr>
        <w:top w:val="single" w:sz="6" w:space="2" w:color="918585"/>
        <w:bottom w:val="single" w:sz="6" w:space="2" w:color="918585"/>
      </w:pBdr>
      <w:tabs>
        <w:tab w:val="left" w:pos="1021"/>
      </w:tabs>
      <w:ind w:firstLine="0"/>
    </w:pPr>
  </w:style>
  <w:style w:type="paragraph" w:customStyle="1" w:styleId="Warning">
    <w:name w:val="Warning"/>
    <w:basedOn w:val="BodyText"/>
    <w:rsid w:val="000A64D1"/>
    <w:pPr>
      <w:shd w:val="clear" w:color="auto" w:fill="D9D9D9"/>
      <w:tabs>
        <w:tab w:val="left" w:pos="992"/>
      </w:tabs>
      <w:ind w:left="119" w:right="119"/>
    </w:pPr>
    <w:rPr>
      <w:sz w:val="20"/>
    </w:rPr>
  </w:style>
  <w:style w:type="paragraph" w:customStyle="1" w:styleId="MarginIcons">
    <w:name w:val="Margin Icons"/>
    <w:basedOn w:val="BodyText"/>
    <w:rsid w:val="000A64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64D1"/>
    <w:rPr>
      <w:rFonts w:ascii="Courier New" w:hAnsi="Courier New"/>
    </w:rPr>
  </w:style>
  <w:style w:type="paragraph" w:customStyle="1" w:styleId="NoteBullet">
    <w:name w:val="Note Bullet"/>
    <w:basedOn w:val="Note"/>
    <w:rsid w:val="000A64D1"/>
    <w:pPr>
      <w:tabs>
        <w:tab w:val="clear" w:pos="680"/>
      </w:tabs>
      <w:spacing w:before="60" w:after="60"/>
    </w:pPr>
  </w:style>
  <w:style w:type="paragraph" w:customStyle="1" w:styleId="SubHeading2">
    <w:name w:val="SubHeading2"/>
    <w:basedOn w:val="HeadingBase"/>
    <w:rsid w:val="000A64D1"/>
    <w:pPr>
      <w:spacing w:before="240" w:after="60"/>
    </w:pPr>
    <w:rPr>
      <w:sz w:val="20"/>
    </w:rPr>
  </w:style>
  <w:style w:type="paragraph" w:customStyle="1" w:styleId="SubHeading1">
    <w:name w:val="SubHeading1"/>
    <w:basedOn w:val="HeadingBase"/>
    <w:rsid w:val="000A64D1"/>
    <w:pPr>
      <w:spacing w:before="240" w:after="60"/>
    </w:pPr>
    <w:rPr>
      <w:color w:val="918585"/>
      <w:sz w:val="22"/>
    </w:rPr>
  </w:style>
  <w:style w:type="paragraph" w:customStyle="1" w:styleId="SideHeading">
    <w:name w:val="Side Heading"/>
    <w:basedOn w:val="HeadingBase"/>
    <w:rsid w:val="000A64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64D1"/>
    <w:pPr>
      <w:tabs>
        <w:tab w:val="num" w:pos="360"/>
      </w:tabs>
    </w:pPr>
  </w:style>
  <w:style w:type="paragraph" w:styleId="PlainText">
    <w:name w:val="Plain Text"/>
    <w:basedOn w:val="Normal"/>
    <w:link w:val="PlainTextChar"/>
    <w:rsid w:val="000A64D1"/>
    <w:rPr>
      <w:sz w:val="20"/>
    </w:rPr>
  </w:style>
  <w:style w:type="character" w:customStyle="1" w:styleId="PlainTextChar">
    <w:name w:val="Plain Text Char"/>
    <w:basedOn w:val="DefaultParagraphFont"/>
    <w:link w:val="PlainText"/>
    <w:rsid w:val="000A64D1"/>
    <w:rPr>
      <w:rFonts w:ascii="Courier New" w:eastAsia="Times New Roman" w:hAnsi="Courier New" w:cs="Times New Roman"/>
      <w:sz w:val="20"/>
      <w:szCs w:val="20"/>
      <w:lang w:eastAsia="en-US"/>
    </w:rPr>
  </w:style>
  <w:style w:type="character" w:customStyle="1" w:styleId="MenuOption">
    <w:name w:val="Menu Option"/>
    <w:basedOn w:val="DefaultParagraphFont"/>
    <w:rsid w:val="000A64D1"/>
    <w:rPr>
      <w:b/>
      <w:smallCaps/>
    </w:rPr>
  </w:style>
  <w:style w:type="paragraph" w:customStyle="1" w:styleId="TableListNumber">
    <w:name w:val="Table List Number"/>
    <w:basedOn w:val="ListNumber"/>
    <w:rsid w:val="000A64D1"/>
    <w:pPr>
      <w:numPr>
        <w:numId w:val="0"/>
      </w:numPr>
    </w:pPr>
  </w:style>
  <w:style w:type="paragraph" w:styleId="TOC4">
    <w:name w:val="toc 4"/>
    <w:basedOn w:val="TOCBase"/>
    <w:next w:val="Normal"/>
    <w:semiHidden/>
    <w:rsid w:val="000A64D1"/>
    <w:pPr>
      <w:tabs>
        <w:tab w:val="right" w:leader="dot" w:pos="9071"/>
      </w:tabs>
      <w:ind w:left="1701"/>
    </w:pPr>
  </w:style>
  <w:style w:type="paragraph" w:customStyle="1" w:styleId="ListAlpha">
    <w:name w:val="List Alpha"/>
    <w:basedOn w:val="List"/>
    <w:rsid w:val="000A64D1"/>
    <w:pPr>
      <w:numPr>
        <w:numId w:val="9"/>
      </w:numPr>
    </w:pPr>
  </w:style>
  <w:style w:type="paragraph" w:customStyle="1" w:styleId="ListAlpha2">
    <w:name w:val="List Alpha 2"/>
    <w:basedOn w:val="List2"/>
    <w:rsid w:val="000A64D1"/>
    <w:pPr>
      <w:numPr>
        <w:numId w:val="8"/>
      </w:numPr>
    </w:pPr>
  </w:style>
  <w:style w:type="paragraph" w:styleId="List2">
    <w:name w:val="List 2"/>
    <w:basedOn w:val="BodyText"/>
    <w:rsid w:val="000A64D1"/>
    <w:pPr>
      <w:tabs>
        <w:tab w:val="left" w:pos="680"/>
      </w:tabs>
      <w:spacing w:before="60" w:after="60"/>
      <w:ind w:left="680" w:hanging="340"/>
    </w:pPr>
  </w:style>
  <w:style w:type="paragraph" w:styleId="List3">
    <w:name w:val="List 3"/>
    <w:basedOn w:val="BodyText"/>
    <w:rsid w:val="000A64D1"/>
    <w:pPr>
      <w:tabs>
        <w:tab w:val="left" w:pos="1021"/>
      </w:tabs>
      <w:spacing w:before="60" w:after="60"/>
      <w:ind w:left="1020" w:hanging="340"/>
    </w:pPr>
  </w:style>
  <w:style w:type="paragraph" w:styleId="List4">
    <w:name w:val="List 4"/>
    <w:basedOn w:val="BodyText"/>
    <w:rsid w:val="000A64D1"/>
    <w:pPr>
      <w:tabs>
        <w:tab w:val="left" w:pos="1361"/>
      </w:tabs>
      <w:spacing w:before="60" w:after="60"/>
      <w:ind w:left="1361" w:hanging="340"/>
    </w:pPr>
  </w:style>
  <w:style w:type="paragraph" w:styleId="List5">
    <w:name w:val="List 5"/>
    <w:basedOn w:val="BodyText"/>
    <w:rsid w:val="000A64D1"/>
    <w:pPr>
      <w:tabs>
        <w:tab w:val="left" w:pos="1701"/>
      </w:tabs>
      <w:spacing w:before="60" w:after="60"/>
      <w:ind w:left="1701" w:hanging="340"/>
    </w:pPr>
  </w:style>
  <w:style w:type="paragraph" w:styleId="ListBullet3">
    <w:name w:val="List Bullet 3"/>
    <w:basedOn w:val="List3"/>
    <w:rsid w:val="000A64D1"/>
    <w:pPr>
      <w:numPr>
        <w:numId w:val="14"/>
      </w:numPr>
      <w:tabs>
        <w:tab w:val="clear" w:pos="1021"/>
      </w:tabs>
      <w:ind w:left="1037" w:hanging="357"/>
    </w:pPr>
  </w:style>
  <w:style w:type="paragraph" w:styleId="ListBullet4">
    <w:name w:val="List Bullet 4"/>
    <w:basedOn w:val="List4"/>
    <w:rsid w:val="000A64D1"/>
    <w:pPr>
      <w:numPr>
        <w:numId w:val="3"/>
      </w:numPr>
      <w:tabs>
        <w:tab w:val="clear" w:pos="1361"/>
      </w:tabs>
    </w:pPr>
  </w:style>
  <w:style w:type="paragraph" w:styleId="ListBullet5">
    <w:name w:val="List Bullet 5"/>
    <w:basedOn w:val="List5"/>
    <w:rsid w:val="000A64D1"/>
    <w:pPr>
      <w:numPr>
        <w:numId w:val="4"/>
      </w:numPr>
    </w:pPr>
  </w:style>
  <w:style w:type="paragraph" w:styleId="ListContinue2">
    <w:name w:val="List Continue 2"/>
    <w:basedOn w:val="List2"/>
    <w:rsid w:val="000A64D1"/>
    <w:pPr>
      <w:ind w:firstLine="0"/>
    </w:pPr>
  </w:style>
  <w:style w:type="paragraph" w:styleId="ListContinue3">
    <w:name w:val="List Continue 3"/>
    <w:basedOn w:val="List3"/>
    <w:rsid w:val="000A64D1"/>
    <w:pPr>
      <w:ind w:left="1021" w:firstLine="0"/>
    </w:pPr>
  </w:style>
  <w:style w:type="paragraph" w:styleId="ListContinue4">
    <w:name w:val="List Continue 4"/>
    <w:basedOn w:val="List4"/>
    <w:rsid w:val="000A64D1"/>
    <w:pPr>
      <w:ind w:firstLine="0"/>
    </w:pPr>
  </w:style>
  <w:style w:type="paragraph" w:styleId="ListContinue5">
    <w:name w:val="List Continue 5"/>
    <w:basedOn w:val="List5"/>
    <w:rsid w:val="000A64D1"/>
    <w:pPr>
      <w:ind w:firstLine="0"/>
    </w:pPr>
  </w:style>
  <w:style w:type="paragraph" w:styleId="ListNumber3">
    <w:name w:val="List Number 3"/>
    <w:basedOn w:val="List3"/>
    <w:rsid w:val="000A64D1"/>
    <w:pPr>
      <w:numPr>
        <w:numId w:val="5"/>
      </w:numPr>
    </w:pPr>
  </w:style>
  <w:style w:type="paragraph" w:styleId="ListNumber4">
    <w:name w:val="List Number 4"/>
    <w:basedOn w:val="List4"/>
    <w:rsid w:val="000A64D1"/>
    <w:pPr>
      <w:numPr>
        <w:numId w:val="6"/>
      </w:numPr>
    </w:pPr>
  </w:style>
  <w:style w:type="paragraph" w:styleId="ListNumber5">
    <w:name w:val="List Number 5"/>
    <w:basedOn w:val="List5"/>
    <w:rsid w:val="000A64D1"/>
    <w:pPr>
      <w:numPr>
        <w:numId w:val="7"/>
      </w:numPr>
    </w:pPr>
  </w:style>
  <w:style w:type="paragraph" w:styleId="BlockText">
    <w:name w:val="Block Text"/>
    <w:basedOn w:val="Normal"/>
    <w:rsid w:val="000A64D1"/>
    <w:pPr>
      <w:spacing w:after="120"/>
      <w:ind w:left="1440" w:right="1440"/>
    </w:pPr>
  </w:style>
  <w:style w:type="character" w:customStyle="1" w:styleId="Subscript">
    <w:name w:val="Subscript"/>
    <w:basedOn w:val="DefaultParagraphFont"/>
    <w:rsid w:val="000A64D1"/>
    <w:rPr>
      <w:sz w:val="16"/>
      <w:vertAlign w:val="subscript"/>
    </w:rPr>
  </w:style>
  <w:style w:type="character" w:customStyle="1" w:styleId="Superscript">
    <w:name w:val="Superscript"/>
    <w:basedOn w:val="DefaultParagraphFont"/>
    <w:rsid w:val="000A64D1"/>
    <w:rPr>
      <w:sz w:val="16"/>
      <w:vertAlign w:val="superscript"/>
    </w:rPr>
  </w:style>
  <w:style w:type="character" w:customStyle="1" w:styleId="Symbols">
    <w:name w:val="Symbols"/>
    <w:basedOn w:val="DefaultParagraphFont"/>
    <w:rsid w:val="000A64D1"/>
    <w:rPr>
      <w:rFonts w:ascii="Symbol" w:hAnsi="Symbol"/>
    </w:rPr>
  </w:style>
  <w:style w:type="character" w:customStyle="1" w:styleId="MenuOptions">
    <w:name w:val="Menu Options"/>
    <w:basedOn w:val="DefaultParagraphFont"/>
    <w:rsid w:val="000A64D1"/>
    <w:rPr>
      <w:rFonts w:ascii="Arial Narrow" w:hAnsi="Arial Narrow"/>
      <w:smallCaps/>
    </w:rPr>
  </w:style>
  <w:style w:type="character" w:customStyle="1" w:styleId="Buttons">
    <w:name w:val="Buttons"/>
    <w:basedOn w:val="DefaultParagraphFont"/>
    <w:rsid w:val="000A64D1"/>
    <w:rPr>
      <w:b/>
    </w:rPr>
  </w:style>
  <w:style w:type="character" w:customStyle="1" w:styleId="Underlined">
    <w:name w:val="Underlined"/>
    <w:basedOn w:val="DefaultParagraphFont"/>
    <w:rsid w:val="000A64D1"/>
    <w:rPr>
      <w:u w:val="single"/>
    </w:rPr>
  </w:style>
  <w:style w:type="paragraph" w:customStyle="1" w:styleId="TableBodyTextRight">
    <w:name w:val="Table Body Text Right"/>
    <w:basedOn w:val="TableBodyText"/>
    <w:rsid w:val="000A64D1"/>
    <w:pPr>
      <w:widowControl w:val="0"/>
      <w:autoSpaceDE w:val="0"/>
      <w:autoSpaceDN w:val="0"/>
      <w:adjustRightInd w:val="0"/>
      <w:jc w:val="right"/>
    </w:pPr>
    <w:rPr>
      <w:rFonts w:cs="Arial"/>
      <w:szCs w:val="18"/>
    </w:rPr>
  </w:style>
  <w:style w:type="paragraph" w:customStyle="1" w:styleId="CopyrightText">
    <w:name w:val="Copyright Text"/>
    <w:basedOn w:val="BodyText"/>
    <w:rsid w:val="000A64D1"/>
    <w:rPr>
      <w:sz w:val="18"/>
    </w:rPr>
  </w:style>
  <w:style w:type="paragraph" w:customStyle="1" w:styleId="BodySmallRight">
    <w:name w:val="Body Small Right"/>
    <w:basedOn w:val="BodyTextRight"/>
    <w:rsid w:val="000A64D1"/>
    <w:rPr>
      <w:sz w:val="18"/>
      <w:szCs w:val="18"/>
    </w:rPr>
  </w:style>
  <w:style w:type="paragraph" w:customStyle="1" w:styleId="MarginEdition">
    <w:name w:val="Margin Edition"/>
    <w:basedOn w:val="MarginNote"/>
    <w:rsid w:val="000A64D1"/>
    <w:pPr>
      <w:spacing w:before="0" w:after="0"/>
    </w:pPr>
    <w:rPr>
      <w:rFonts w:ascii="Times New Roman" w:hAnsi="Times New Roman"/>
      <w:color w:val="999999"/>
    </w:rPr>
  </w:style>
  <w:style w:type="paragraph" w:customStyle="1" w:styleId="Spacer">
    <w:name w:val="Spacer"/>
    <w:basedOn w:val="Normal"/>
    <w:rsid w:val="000A64D1"/>
    <w:rPr>
      <w:sz w:val="2"/>
      <w:szCs w:val="2"/>
    </w:rPr>
  </w:style>
  <w:style w:type="character" w:customStyle="1" w:styleId="Small">
    <w:name w:val="Small"/>
    <w:basedOn w:val="DefaultParagraphFont"/>
    <w:rsid w:val="000A64D1"/>
    <w:rPr>
      <w:sz w:val="16"/>
    </w:rPr>
  </w:style>
  <w:style w:type="paragraph" w:customStyle="1" w:styleId="WideTable">
    <w:name w:val="Wide Table"/>
    <w:basedOn w:val="Normal"/>
    <w:rsid w:val="000A64D1"/>
    <w:pPr>
      <w:ind w:left="-1418"/>
    </w:pPr>
    <w:rPr>
      <w:sz w:val="2"/>
      <w:szCs w:val="2"/>
    </w:rPr>
  </w:style>
  <w:style w:type="character" w:styleId="PageNumber">
    <w:name w:val="page number"/>
    <w:basedOn w:val="DefaultParagraphFont"/>
    <w:rsid w:val="000A64D1"/>
  </w:style>
  <w:style w:type="paragraph" w:styleId="Quote">
    <w:name w:val="Quote"/>
    <w:basedOn w:val="Heading1"/>
    <w:link w:val="QuoteChar"/>
    <w:qFormat/>
    <w:rsid w:val="000A64D1"/>
    <w:rPr>
      <w:b w:val="0"/>
      <w:sz w:val="72"/>
      <w:szCs w:val="72"/>
      <w:lang w:val="en-NZ"/>
    </w:rPr>
  </w:style>
  <w:style w:type="character" w:customStyle="1" w:styleId="QuoteChar">
    <w:name w:val="Quote Char"/>
    <w:basedOn w:val="DefaultParagraphFont"/>
    <w:link w:val="Quote"/>
    <w:rsid w:val="000A64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64D1"/>
    <w:pPr>
      <w:pageBreakBefore/>
    </w:pPr>
  </w:style>
  <w:style w:type="paragraph" w:customStyle="1" w:styleId="Border">
    <w:name w:val="Border"/>
    <w:basedOn w:val="Normal"/>
    <w:qFormat/>
    <w:rsid w:val="000A64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64D1"/>
    <w:rPr>
      <w:b/>
      <w:bCs/>
      <w:i/>
      <w:iCs/>
      <w:color w:val="auto"/>
    </w:rPr>
  </w:style>
  <w:style w:type="paragraph" w:styleId="IntenseQuote">
    <w:name w:val="Intense Quote"/>
    <w:basedOn w:val="Normal"/>
    <w:next w:val="Normal"/>
    <w:link w:val="IntenseQuoteChar"/>
    <w:uiPriority w:val="30"/>
    <w:qFormat/>
    <w:rsid w:val="000A64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64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64D1"/>
    <w:rPr>
      <w:smallCaps/>
      <w:color w:val="auto"/>
      <w:u w:val="single"/>
    </w:rPr>
  </w:style>
  <w:style w:type="character" w:styleId="IntenseReference">
    <w:name w:val="Intense Reference"/>
    <w:basedOn w:val="DefaultParagraphFont"/>
    <w:uiPriority w:val="32"/>
    <w:qFormat/>
    <w:rsid w:val="000A64D1"/>
    <w:rPr>
      <w:b/>
      <w:bCs/>
      <w:smallCaps/>
      <w:color w:val="auto"/>
      <w:spacing w:val="5"/>
      <w:u w:val="single"/>
    </w:rPr>
  </w:style>
  <w:style w:type="paragraph" w:customStyle="1" w:styleId="2ColumnHeading">
    <w:name w:val="2Column Heading"/>
    <w:basedOn w:val="BodyText"/>
    <w:qFormat/>
    <w:rsid w:val="000A64D1"/>
    <w:pPr>
      <w:spacing w:after="60"/>
      <w:ind w:left="-2268"/>
    </w:pPr>
    <w:rPr>
      <w:b/>
    </w:rPr>
  </w:style>
  <w:style w:type="paragraph" w:customStyle="1" w:styleId="Heading1TOC">
    <w:name w:val="Heading1 TOC"/>
    <w:basedOn w:val="Normal"/>
    <w:qFormat/>
    <w:rsid w:val="000A64D1"/>
    <w:pPr>
      <w:spacing w:before="240" w:after="120"/>
    </w:pPr>
    <w:rPr>
      <w:rFonts w:ascii="Times New Roman" w:hAnsi="Times New Roman"/>
      <w:b/>
      <w:sz w:val="32"/>
    </w:rPr>
  </w:style>
  <w:style w:type="paragraph" w:customStyle="1" w:styleId="Heading2TOC">
    <w:name w:val="Heading2 TOC"/>
    <w:basedOn w:val="Normal"/>
    <w:qFormat/>
    <w:rsid w:val="000A64D1"/>
    <w:pPr>
      <w:spacing w:before="240" w:after="60"/>
    </w:pPr>
    <w:rPr>
      <w:rFonts w:ascii="Times New Roman" w:hAnsi="Times New Roman"/>
      <w:b/>
      <w:sz w:val="28"/>
    </w:rPr>
  </w:style>
  <w:style w:type="character" w:customStyle="1" w:styleId="Underline">
    <w:name w:val="Underline"/>
    <w:basedOn w:val="DefaultParagraphFont"/>
    <w:qFormat/>
    <w:rsid w:val="000A64D1"/>
    <w:rPr>
      <w:u w:val="single"/>
    </w:rPr>
  </w:style>
  <w:style w:type="paragraph" w:styleId="BalloonText">
    <w:name w:val="Balloon Text"/>
    <w:basedOn w:val="Normal"/>
    <w:link w:val="BalloonTextChar"/>
    <w:rsid w:val="000A64D1"/>
    <w:rPr>
      <w:rFonts w:ascii="Tahoma" w:hAnsi="Tahoma" w:cs="Tahoma"/>
      <w:sz w:val="16"/>
      <w:szCs w:val="16"/>
    </w:rPr>
  </w:style>
  <w:style w:type="character" w:customStyle="1" w:styleId="BalloonTextChar">
    <w:name w:val="Balloon Text Char"/>
    <w:basedOn w:val="DefaultParagraphFont"/>
    <w:link w:val="BalloonText"/>
    <w:rsid w:val="000A64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64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64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64D1"/>
    <w:rPr>
      <w:b/>
      <w:color w:val="660033"/>
      <w:spacing w:val="0"/>
    </w:rPr>
  </w:style>
  <w:style w:type="paragraph" w:customStyle="1" w:styleId="Nameditemlist">
    <w:name w:val="Named item list"/>
    <w:basedOn w:val="BodyText"/>
    <w:qFormat/>
    <w:rsid w:val="000A64D1"/>
    <w:pPr>
      <w:tabs>
        <w:tab w:val="left" w:pos="2835"/>
      </w:tabs>
      <w:ind w:left="2835" w:hanging="2835"/>
    </w:pPr>
  </w:style>
  <w:style w:type="paragraph" w:customStyle="1" w:styleId="BodyTextnopadding">
    <w:name w:val="Body Text no padding"/>
    <w:basedOn w:val="BodyText"/>
    <w:qFormat/>
    <w:rsid w:val="000A64D1"/>
    <w:pPr>
      <w:spacing w:before="0" w:after="0"/>
    </w:pPr>
  </w:style>
  <w:style w:type="paragraph" w:customStyle="1" w:styleId="BodyTextBold">
    <w:name w:val="Body Text Bold"/>
    <w:basedOn w:val="BodyText"/>
    <w:qFormat/>
    <w:rsid w:val="000A64D1"/>
    <w:rPr>
      <w:b/>
    </w:rPr>
  </w:style>
  <w:style w:type="character" w:styleId="Hyperlink">
    <w:name w:val="Hyperlink"/>
    <w:basedOn w:val="DefaultParagraphFont"/>
    <w:uiPriority w:val="99"/>
    <w:unhideWhenUsed/>
    <w:rsid w:val="00230E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1437</Words>
  <Characters>9704</Characters>
  <Application>Microsoft Office Word</Application>
  <DocSecurity>0</DocSecurity>
  <Lines>373</Lines>
  <Paragraphs>210</Paragraphs>
  <ScaleCrop>false</ScaleCrop>
  <Company>Author-it Software Corporation Ltd.</Company>
  <LinksUpToDate>false</LinksUpToDate>
  <CharactersWithSpaces>10931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CPPPMT3026 Select pest management vehicle and equipment</dc:title>
  <dc:subject>Approved</dc:subject>
  <dc:creator>BuildSkills Australia</dc:creator>
  <cp:keywords>Release: 1</cp:keywords>
  <dc:description>Review Date: 12 April 2008</dc:description>
  <cp:lastModifiedBy>HSD_TPCMSd.prod</cp:lastModifiedBy>
  <cp:revision>3</cp:revision>
  <dcterms:created xsi:type="dcterms:W3CDTF">2025-03-01T14:54:00Z</dcterms:created>
  <dcterms:modified xsi:type="dcterms:W3CDTF">2025-03-01T14:54:00Z</dcterms:modified>
</cp:coreProperties>
</file>