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EF2" w:rsidP="006F2E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CPPINV3033 Conduct covert surveillance operations</w:t>
      </w:r>
      <w:r>
        <w:fldChar w:fldCharType="end"/>
      </w:r>
    </w:p>
    <w:p w:rsidR="006F2EF2" w:rsidP="006F2EF2">
      <w:pPr>
        <w:pStyle w:val="Version"/>
        <w:sectPr w:rsidSect="004858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85A" w:rsidP="0048585A">
      <w:pPr>
        <w:pStyle w:val="SuperHeading"/>
      </w:pPr>
      <w:r w:rsidRPr="0048585A">
        <w:t>Assessment Requirements for CPPINV3033 Conduct covert surveillance operations</w:t>
      </w:r>
    </w:p>
    <w:p w:rsidR="00000000" w:rsidRPr="0048585A" w:rsidP="0048585A">
      <w:pPr>
        <w:pStyle w:val="Heading1"/>
      </w:pPr>
      <w:bookmarkStart w:id="1" w:name="O_1052833"/>
      <w:bookmarkEnd w:id="1"/>
      <w:r w:rsidRPr="004858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85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85A">
            <w:pPr>
              <w:pStyle w:val="BodyText"/>
              <w:rPr>
                <w:lang w:val="en-NZ"/>
              </w:rPr>
            </w:pPr>
            <w:r w:rsidRPr="0048585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85A" w:rsidP="0048585A">
            <w:pPr>
              <w:pStyle w:val="BodyText"/>
            </w:pPr>
            <w:r w:rsidRPr="0048585A">
              <w:t>This version first released with CPP Property Services Training Package Release 9.0.</w:t>
            </w:r>
          </w:p>
          <w:p w:rsidR="00000000" w:rsidRPr="0048585A" w:rsidP="0048585A">
            <w:pPr>
              <w:pStyle w:val="BodyText"/>
            </w:pPr>
            <w:r w:rsidRPr="0048585A">
              <w:t>Supersedes and is equivalent to CPPSEC3030A Conduct surveillance. Updated to meet the Standards for Training Packages</w:t>
            </w:r>
          </w:p>
        </w:tc>
      </w:tr>
    </w:tbl>
    <w:p w:rsidR="00000000" w:rsidRPr="0048585A" w:rsidP="0048585A">
      <w:pPr>
        <w:pStyle w:val="BodyText"/>
      </w:pPr>
    </w:p>
    <w:p w:rsidR="00000000" w:rsidRPr="0048585A" w:rsidP="0048585A">
      <w:pPr>
        <w:pStyle w:val="AllowPageBreak"/>
      </w:pPr>
    </w:p>
    <w:p w:rsidR="00000000" w:rsidRPr="0048585A" w:rsidP="0048585A">
      <w:pPr>
        <w:pStyle w:val="Heading1"/>
      </w:pPr>
      <w:bookmarkStart w:id="2" w:name="O_1052836"/>
      <w:bookmarkEnd w:id="2"/>
      <w:r w:rsidRPr="0048585A">
        <w:t>Performance Evidence</w:t>
      </w:r>
    </w:p>
    <w:p w:rsidR="00000000" w:rsidRPr="0048585A" w:rsidP="006F2EF2">
      <w:pPr>
        <w:pStyle w:val="BodyText"/>
      </w:pPr>
      <w:r w:rsidRPr="0048585A">
        <w:t>To demonstrate competency, a candidate must meet the performance criteria of this unit by conduc</w:t>
      </w:r>
      <w:r w:rsidRPr="0048585A">
        <w:t>ting three different covert surveillance operations, involving at least:</w:t>
      </w:r>
    </w:p>
    <w:p w:rsidR="00000000" w:rsidRPr="0048585A" w:rsidP="0048585A">
      <w:pPr>
        <w:pStyle w:val="ListBullet"/>
      </w:pPr>
      <w:r w:rsidRPr="0048585A">
        <w:t>one mobile or static surveillance operation using a vehicle</w:t>
      </w:r>
    </w:p>
    <w:p w:rsidR="00000000" w:rsidRPr="0048585A" w:rsidP="0048585A">
      <w:pPr>
        <w:pStyle w:val="ListBullet"/>
      </w:pPr>
      <w:r w:rsidRPr="0048585A">
        <w:t>one mobile or static surveillance operation on foot.</w:t>
      </w:r>
    </w:p>
    <w:p w:rsidR="00000000" w:rsidRPr="0048585A" w:rsidP="006F2EF2">
      <w:pPr>
        <w:pStyle w:val="BodyText"/>
      </w:pPr>
      <w:r w:rsidRPr="0048585A">
        <w:t>For each covert surveillance operation, the candidate must submit a d</w:t>
      </w:r>
      <w:r w:rsidRPr="0048585A">
        <w:t>aily observation sheet in the required format, and document details of:</w:t>
      </w:r>
    </w:p>
    <w:p w:rsidR="00000000" w:rsidRPr="0048585A" w:rsidP="0048585A">
      <w:pPr>
        <w:pStyle w:val="ListBullet"/>
      </w:pPr>
      <w:r w:rsidRPr="0048585A">
        <w:t>a circumstance where anti-surveillance techniques were identified and contingency action taken</w:t>
      </w:r>
    </w:p>
    <w:p w:rsidR="00000000" w:rsidRPr="0048585A" w:rsidP="0048585A">
      <w:pPr>
        <w:pStyle w:val="ListBullet"/>
      </w:pPr>
      <w:r w:rsidRPr="0048585A">
        <w:t>an unplanned contact that could have compromised the surveillance and how this was handl</w:t>
      </w:r>
      <w:r w:rsidRPr="0048585A">
        <w:t>ed using previously planned pretext in accordance with legal requirements</w:t>
      </w:r>
    </w:p>
    <w:p w:rsidR="00000000" w:rsidRPr="0048585A" w:rsidP="0048585A">
      <w:pPr>
        <w:pStyle w:val="ListBullet"/>
      </w:pPr>
      <w:r w:rsidRPr="0048585A">
        <w:t>strategies implemented to gain and maintain personal endurance necessary for prolonged surveillance shift responsibilities to comply with work health and safety (WHS) requirements in</w:t>
      </w:r>
      <w:r w:rsidRPr="0048585A">
        <w:t xml:space="preserve"> two different operating environments while working alone</w:t>
      </w:r>
    </w:p>
    <w:p w:rsidR="00000000" w:rsidRPr="0048585A" w:rsidP="0048585A">
      <w:pPr>
        <w:pStyle w:val="ListBullet"/>
      </w:pPr>
      <w:r w:rsidRPr="0048585A">
        <w:t>two choices of observation posts selected to meet surveillance work instructions</w:t>
      </w:r>
    </w:p>
    <w:p w:rsidR="00000000" w:rsidRPr="0048585A" w:rsidP="0048585A">
      <w:pPr>
        <w:pStyle w:val="ListBullet"/>
      </w:pPr>
      <w:r w:rsidRPr="0048585A">
        <w:t>a description of the subject.</w:t>
      </w:r>
    </w:p>
    <w:p w:rsidR="00000000" w:rsidRPr="0048585A" w:rsidP="0048585A">
      <w:pPr>
        <w:pStyle w:val="AllowPageBreak"/>
      </w:pPr>
    </w:p>
    <w:p w:rsidR="00000000" w:rsidRPr="0048585A" w:rsidP="0048585A">
      <w:pPr>
        <w:pStyle w:val="Heading1"/>
      </w:pPr>
      <w:bookmarkStart w:id="3" w:name="O_1052835"/>
      <w:bookmarkEnd w:id="3"/>
      <w:r w:rsidRPr="0048585A">
        <w:t>Knowledge Evidence</w:t>
      </w:r>
    </w:p>
    <w:p w:rsidR="00000000" w:rsidRPr="0048585A" w:rsidP="006F2EF2">
      <w:pPr>
        <w:pStyle w:val="BodyText"/>
      </w:pPr>
      <w:r w:rsidRPr="0048585A">
        <w:t>To be compet</w:t>
      </w:r>
      <w:r w:rsidRPr="0048585A">
        <w:t>ent in this unit, a candidate must demonstrate knowledge of:</w:t>
      </w:r>
    </w:p>
    <w:p w:rsidR="00000000" w:rsidRPr="0048585A" w:rsidP="0048585A">
      <w:pPr>
        <w:pStyle w:val="ListBullet"/>
      </w:pPr>
      <w:r w:rsidRPr="0048585A">
        <w:t>workplace policies and procedures that ensure compliance with legislative and regulatory requirements when conducting covert surveillance operations:</w:t>
      </w:r>
    </w:p>
    <w:p w:rsidR="00000000" w:rsidRPr="0048585A" w:rsidP="0048585A">
      <w:pPr>
        <w:pStyle w:val="ListBullet2"/>
      </w:pPr>
      <w:r w:rsidRPr="0048585A">
        <w:t>actions that may result in breach of confid</w:t>
      </w:r>
      <w:r w:rsidRPr="0048585A">
        <w:t>ence, privacy or other offence under legislation</w:t>
      </w:r>
    </w:p>
    <w:p w:rsidR="00000000" w:rsidRPr="0048585A" w:rsidP="0048585A">
      <w:pPr>
        <w:pStyle w:val="ListBullet2"/>
      </w:pPr>
      <w:r w:rsidRPr="0048585A">
        <w:t>authorities and legal rights of investigators</w:t>
      </w:r>
    </w:p>
    <w:p w:rsidR="00000000" w:rsidRPr="0048585A" w:rsidP="0048585A">
      <w:pPr>
        <w:pStyle w:val="ListBullet2"/>
      </w:pPr>
      <w:r w:rsidRPr="0048585A">
        <w:t>duties of the investigator to follow instructions, act in person and act in the interests of the client</w:t>
      </w:r>
    </w:p>
    <w:p w:rsidR="00000000" w:rsidRPr="0048585A" w:rsidP="0048585A">
      <w:pPr>
        <w:pStyle w:val="ListBullet2"/>
      </w:pPr>
      <w:r w:rsidRPr="0048585A">
        <w:t>legislative restrictions on the use of recording devices</w:t>
      </w:r>
    </w:p>
    <w:p w:rsidR="00000000" w:rsidRPr="0048585A" w:rsidP="0048585A">
      <w:pPr>
        <w:pStyle w:val="ListBullet2"/>
      </w:pPr>
      <w:r w:rsidRPr="0048585A">
        <w:t>requirements to notify authorities or property owners of surveillance operations</w:t>
      </w:r>
    </w:p>
    <w:p w:rsidR="00000000" w:rsidRPr="0048585A" w:rsidP="0048585A">
      <w:pPr>
        <w:pStyle w:val="ListBullet2"/>
      </w:pPr>
      <w:r w:rsidRPr="0048585A">
        <w:t>rights of subjects including privacy and protection of reputation</w:t>
      </w:r>
    </w:p>
    <w:p w:rsidR="00000000" w:rsidRPr="0048585A" w:rsidP="0048585A">
      <w:pPr>
        <w:pStyle w:val="ListBullet2"/>
      </w:pPr>
      <w:r w:rsidRPr="0048585A">
        <w:t>WHS requirements</w:t>
      </w:r>
    </w:p>
    <w:p w:rsidR="00000000" w:rsidRPr="0048585A" w:rsidP="0048585A">
      <w:pPr>
        <w:pStyle w:val="ListBullet"/>
      </w:pPr>
      <w:r w:rsidRPr="0048585A">
        <w:t>codes of conduct and types of investigative behaviours that are unethical, illegal or repre</w:t>
      </w:r>
      <w:r w:rsidRPr="0048585A">
        <w:t>sent misconduct</w:t>
      </w:r>
    </w:p>
    <w:p w:rsidR="00000000" w:rsidRPr="0048585A" w:rsidP="0048585A">
      <w:pPr>
        <w:pStyle w:val="ListBullet"/>
      </w:pPr>
      <w:r w:rsidRPr="0048585A">
        <w:t>covert observation techniques</w:t>
      </w:r>
    </w:p>
    <w:p w:rsidR="00000000" w:rsidRPr="0048585A" w:rsidP="0048585A">
      <w:pPr>
        <w:pStyle w:val="ListBullet"/>
      </w:pPr>
      <w:r w:rsidRPr="0048585A">
        <w:t>methods for verifying the validity and reliability of information gathered by covert surveillance</w:t>
      </w:r>
    </w:p>
    <w:p w:rsidR="00000000" w:rsidRPr="0048585A" w:rsidP="0048585A">
      <w:pPr>
        <w:pStyle w:val="ListBullet"/>
      </w:pPr>
      <w:r w:rsidRPr="0048585A">
        <w:t>signs that surveillance operation has been compromised</w:t>
      </w:r>
    </w:p>
    <w:p w:rsidR="00000000" w:rsidRPr="0048585A" w:rsidP="0048585A">
      <w:pPr>
        <w:pStyle w:val="ListBullet"/>
      </w:pPr>
      <w:r w:rsidRPr="0048585A">
        <w:t>sources of surveillance evidence and methods for:</w:t>
      </w:r>
    </w:p>
    <w:p w:rsidR="00000000" w:rsidRPr="0048585A" w:rsidP="0048585A">
      <w:pPr>
        <w:pStyle w:val="ListBullet2"/>
      </w:pPr>
      <w:r w:rsidRPr="0048585A">
        <w:t>collecting, preserving and presenting evidence</w:t>
      </w:r>
    </w:p>
    <w:p w:rsidR="00000000" w:rsidRPr="0048585A" w:rsidP="0048585A">
      <w:pPr>
        <w:pStyle w:val="ListBullet2"/>
      </w:pPr>
      <w:r w:rsidRPr="0048585A">
        <w:t>ensuring continuity of evidence</w:t>
      </w:r>
    </w:p>
    <w:p w:rsidR="00000000" w:rsidRPr="0048585A" w:rsidP="0048585A">
      <w:pPr>
        <w:pStyle w:val="ListBullet2"/>
      </w:pPr>
      <w:r w:rsidRPr="0048585A">
        <w:t>complying with evidence management principles</w:t>
      </w:r>
    </w:p>
    <w:p w:rsidR="00000000" w:rsidRPr="0048585A" w:rsidP="0048585A">
      <w:pPr>
        <w:pStyle w:val="ListBullet"/>
      </w:pPr>
      <w:r w:rsidRPr="0048585A">
        <w:t>techniques for skip tracing and sourcing background information on subjects</w:t>
      </w:r>
    </w:p>
    <w:p w:rsidR="00000000" w:rsidRPr="0048585A" w:rsidP="0048585A">
      <w:pPr>
        <w:pStyle w:val="ListBullet"/>
      </w:pPr>
      <w:r w:rsidRPr="0048585A">
        <w:t>types and purpose of equipment used when conducting co</w:t>
      </w:r>
      <w:r w:rsidRPr="0048585A">
        <w:t>vert surveillance operations:</w:t>
      </w:r>
    </w:p>
    <w:p w:rsidR="00000000" w:rsidRPr="0048585A" w:rsidP="0048585A">
      <w:pPr>
        <w:pStyle w:val="ListBullet2"/>
      </w:pPr>
      <w:r w:rsidRPr="0048585A">
        <w:t>binoculars</w:t>
      </w:r>
    </w:p>
    <w:p w:rsidR="00000000" w:rsidRPr="0048585A" w:rsidP="0048585A">
      <w:pPr>
        <w:pStyle w:val="ListBullet2"/>
      </w:pPr>
      <w:r w:rsidRPr="0048585A">
        <w:t>cameras</w:t>
      </w:r>
    </w:p>
    <w:p w:rsidR="00000000" w:rsidRPr="0048585A" w:rsidP="0048585A">
      <w:pPr>
        <w:pStyle w:val="ListBullet2"/>
      </w:pPr>
      <w:r w:rsidRPr="0048585A">
        <w:t>communications equipment</w:t>
      </w:r>
    </w:p>
    <w:p w:rsidR="00000000" w:rsidRPr="0048585A" w:rsidP="0048585A">
      <w:pPr>
        <w:pStyle w:val="ListBullet2"/>
      </w:pPr>
      <w:r w:rsidRPr="0048585A">
        <w:t>global positioning system</w:t>
      </w:r>
    </w:p>
    <w:p w:rsidR="00000000" w:rsidRPr="0048585A" w:rsidP="0048585A">
      <w:pPr>
        <w:pStyle w:val="ListBullet2"/>
      </w:pPr>
      <w:r w:rsidRPr="0048585A">
        <w:t>laptop computers</w:t>
      </w:r>
    </w:p>
    <w:p w:rsidR="00000000" w:rsidRPr="0048585A" w:rsidP="0048585A">
      <w:pPr>
        <w:pStyle w:val="ListBullet2"/>
      </w:pPr>
      <w:r w:rsidRPr="0048585A">
        <w:t>listening devices</w:t>
      </w:r>
    </w:p>
    <w:p w:rsidR="00000000" w:rsidRPr="0048585A" w:rsidP="0048585A">
      <w:pPr>
        <w:pStyle w:val="ListBullet2"/>
      </w:pPr>
      <w:r w:rsidRPr="0048585A">
        <w:t>mirrors</w:t>
      </w:r>
    </w:p>
    <w:p w:rsidR="00000000" w:rsidRPr="0048585A" w:rsidP="0048585A">
      <w:pPr>
        <w:pStyle w:val="ListBullet2"/>
      </w:pPr>
      <w:r w:rsidRPr="0048585A">
        <w:t>monopods or tripods</w:t>
      </w:r>
    </w:p>
    <w:p w:rsidR="00000000" w:rsidRPr="0048585A" w:rsidP="0048585A">
      <w:pPr>
        <w:pStyle w:val="ListBullet2"/>
      </w:pPr>
      <w:r w:rsidRPr="0048585A">
        <w:t>personal protective equipment (PPE)</w:t>
      </w:r>
    </w:p>
    <w:p w:rsidR="00000000" w:rsidRPr="0048585A" w:rsidP="0048585A">
      <w:pPr>
        <w:pStyle w:val="ListBullet2"/>
      </w:pPr>
      <w:r w:rsidRPr="0048585A">
        <w:t>power inverters</w:t>
      </w:r>
    </w:p>
    <w:p w:rsidR="00000000" w:rsidRPr="0048585A" w:rsidP="0048585A">
      <w:pPr>
        <w:pStyle w:val="ListBullet2"/>
      </w:pPr>
      <w:r w:rsidRPr="0048585A">
        <w:t>recording devices</w:t>
      </w:r>
    </w:p>
    <w:p w:rsidR="00000000" w:rsidRPr="0048585A" w:rsidP="0048585A">
      <w:pPr>
        <w:pStyle w:val="ListBullet2"/>
      </w:pPr>
      <w:r w:rsidRPr="0048585A">
        <w:t>telephoto lenses</w:t>
      </w:r>
    </w:p>
    <w:p w:rsidR="00000000" w:rsidRPr="0048585A" w:rsidP="0048585A">
      <w:pPr>
        <w:pStyle w:val="ListBullet2"/>
      </w:pPr>
      <w:r w:rsidRPr="0048585A">
        <w:t>vehicles</w:t>
      </w:r>
    </w:p>
    <w:p w:rsidR="00000000" w:rsidRPr="0048585A" w:rsidP="0048585A">
      <w:pPr>
        <w:pStyle w:val="ListBullet2"/>
      </w:pPr>
      <w:r w:rsidRPr="0048585A">
        <w:t>video cameras</w:t>
      </w:r>
    </w:p>
    <w:p w:rsidR="00000000" w:rsidRPr="0048585A" w:rsidP="0048585A">
      <w:pPr>
        <w:pStyle w:val="ListBullet"/>
      </w:pPr>
      <w:r w:rsidRPr="0048585A">
        <w:t>types of evidence:</w:t>
      </w:r>
    </w:p>
    <w:p w:rsidR="00000000" w:rsidRPr="0048585A" w:rsidP="0048585A">
      <w:pPr>
        <w:pStyle w:val="ListBullet2"/>
      </w:pPr>
      <w:r w:rsidRPr="0048585A">
        <w:t>circumstantial</w:t>
      </w:r>
    </w:p>
    <w:p w:rsidR="00000000" w:rsidRPr="0048585A" w:rsidP="0048585A">
      <w:pPr>
        <w:pStyle w:val="ListBullet2"/>
      </w:pPr>
      <w:r w:rsidRPr="0048585A">
        <w:t>direct</w:t>
      </w:r>
    </w:p>
    <w:p w:rsidR="00000000" w:rsidRPr="0048585A" w:rsidP="0048585A">
      <w:pPr>
        <w:pStyle w:val="ListBullet2"/>
      </w:pPr>
      <w:r w:rsidRPr="0048585A">
        <w:t>documentary</w:t>
      </w:r>
    </w:p>
    <w:p w:rsidR="00000000" w:rsidRPr="0048585A" w:rsidP="0048585A">
      <w:pPr>
        <w:pStyle w:val="ListBullet2"/>
      </w:pPr>
      <w:r w:rsidRPr="0048585A">
        <w:t>hearsay</w:t>
      </w:r>
    </w:p>
    <w:p w:rsidR="00000000" w:rsidRPr="0048585A" w:rsidP="0048585A">
      <w:pPr>
        <w:pStyle w:val="ListBullet2"/>
      </w:pPr>
      <w:r w:rsidRPr="0048585A">
        <w:t>opinion</w:t>
      </w:r>
    </w:p>
    <w:p w:rsidR="00000000" w:rsidRPr="0048585A" w:rsidP="0048585A">
      <w:pPr>
        <w:pStyle w:val="ListBullet2"/>
      </w:pPr>
      <w:r w:rsidRPr="0048585A">
        <w:t>physical</w:t>
      </w:r>
    </w:p>
    <w:p w:rsidR="00000000" w:rsidRPr="0048585A" w:rsidP="0048585A">
      <w:pPr>
        <w:pStyle w:val="ListBullet"/>
      </w:pPr>
      <w:r w:rsidRPr="0048585A">
        <w:t>typical hazards associated with covert surveillance and WHS control measures for each:</w:t>
      </w:r>
    </w:p>
    <w:p w:rsidR="00000000" w:rsidRPr="0048585A" w:rsidP="0048585A">
      <w:pPr>
        <w:pStyle w:val="ListBullet2"/>
      </w:pPr>
      <w:r w:rsidRPr="0048585A">
        <w:t>prolonged static physical immobility: deep vein thrombosis, muscle strain, cramps, physical and mental fatigue and dehydration</w:t>
      </w:r>
    </w:p>
    <w:p w:rsidR="00000000" w:rsidRPr="0048585A" w:rsidP="0048585A">
      <w:pPr>
        <w:pStyle w:val="ListBullet2"/>
      </w:pPr>
      <w:r w:rsidRPr="0048585A">
        <w:t>hot and cold environments.</w:t>
      </w:r>
    </w:p>
    <w:p w:rsidR="00000000" w:rsidRPr="0048585A" w:rsidP="0048585A">
      <w:pPr>
        <w:pStyle w:val="AllowPageBreak"/>
      </w:pPr>
    </w:p>
    <w:p w:rsidR="00000000" w:rsidRPr="0048585A" w:rsidP="0048585A">
      <w:pPr>
        <w:pStyle w:val="Heading1"/>
      </w:pPr>
      <w:bookmarkStart w:id="4" w:name="O_1052834"/>
      <w:bookmarkEnd w:id="4"/>
      <w:r w:rsidRPr="0048585A">
        <w:t>Assessment Conditions</w:t>
      </w:r>
    </w:p>
    <w:p w:rsidR="00000000" w:rsidRPr="0048585A" w:rsidP="006F2EF2">
      <w:pPr>
        <w:pStyle w:val="BodyText"/>
      </w:pPr>
      <w:r w:rsidRPr="0048585A">
        <w:t xml:space="preserve">Assessors must meet the requirements for assessors contained </w:t>
      </w:r>
      <w:r w:rsidRPr="0048585A">
        <w:t>in the Standards for Registered Training Organisations.</w:t>
      </w:r>
    </w:p>
    <w:p w:rsidR="00000000" w:rsidRPr="0048585A" w:rsidP="006F2EF2">
      <w:pPr>
        <w:pStyle w:val="BodyText"/>
      </w:pPr>
      <w:r w:rsidRPr="0048585A">
        <w:t>All individuals engaged by an RTO for investigations licensing purposes must hold the licence for performing the investigations activities for which the individual is providing training or assessment.</w:t>
      </w:r>
      <w:r w:rsidRPr="0048585A">
        <w:t xml:space="preserve">  Regulators may impose other assessor conditions to meet jurisdictional assessment requirements.</w:t>
      </w:r>
    </w:p>
    <w:p w:rsidR="00000000" w:rsidRPr="0048585A" w:rsidP="006F2EF2">
      <w:pPr>
        <w:pStyle w:val="BodyText"/>
      </w:pPr>
      <w:r w:rsidRPr="0048585A">
        <w:t>Assessment must be conducted in the workplace or in a simulated workplace environment. Candidates must have access to:</w:t>
      </w:r>
    </w:p>
    <w:p w:rsidR="00000000" w:rsidRPr="0048585A" w:rsidP="0048585A">
      <w:pPr>
        <w:pStyle w:val="ListBullet"/>
      </w:pPr>
      <w:r w:rsidRPr="0048585A">
        <w:t>work instructions and associated docum</w:t>
      </w:r>
      <w:r w:rsidRPr="0048585A">
        <w:t>entation, PPE and surveillance equipment required to achieve the performance evidence.</w:t>
      </w:r>
    </w:p>
    <w:p w:rsidR="00000000" w:rsidRPr="0048585A" w:rsidP="0048585A">
      <w:pPr>
        <w:pStyle w:val="AllowPageBreak"/>
      </w:pPr>
    </w:p>
    <w:p w:rsidR="00000000" w:rsidRPr="0048585A" w:rsidP="0048585A">
      <w:pPr>
        <w:pStyle w:val="Heading1"/>
      </w:pPr>
      <w:bookmarkStart w:id="5" w:name="O_1052832"/>
      <w:bookmarkEnd w:id="5"/>
      <w:r w:rsidRPr="0048585A">
        <w:t>Links</w:t>
      </w:r>
    </w:p>
    <w:p w:rsidR="00000000" w:rsidRPr="0048585A" w:rsidP="006F2EF2">
      <w:pPr>
        <w:pStyle w:val="BodyText"/>
      </w:pPr>
      <w:r w:rsidRPr="0048585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E37C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8585A" w:rsidP="0048585A"/>
    <w:sectPr w:rsidSect="004858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8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85A" w:rsidRPr="006F2EF2" w:rsidP="006F2E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8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EF2" w:rsidP="004858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2EF2" w:rsidP="004858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F2EF2" w:rsidP="004858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8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E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85A" w:rsidRPr="006F2EF2" w:rsidP="006F2E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8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EF2" w:rsidRPr="002D2AF8" w:rsidP="004858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CPPINV3033 Conduct covert surveillance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F2EF2" w:rsidP="004858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0C48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1E3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2056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8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8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8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8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8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8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8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8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8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8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8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85A"/>
  </w:style>
  <w:style w:type="character" w:customStyle="1" w:styleId="Heading1Char">
    <w:name w:val="Heading 1 Char"/>
    <w:basedOn w:val="DefaultParagraphFont"/>
    <w:link w:val="Heading1"/>
    <w:rsid w:val="004858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8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8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8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58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58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8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8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8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8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8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8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8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8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8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8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8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8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8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8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8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8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8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585A"/>
    <w:rPr>
      <w:b/>
      <w:spacing w:val="0"/>
    </w:rPr>
  </w:style>
  <w:style w:type="paragraph" w:customStyle="1" w:styleId="SuperTitle">
    <w:name w:val="SuperTitle"/>
    <w:basedOn w:val="Title"/>
    <w:rsid w:val="004858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8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8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58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8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8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8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8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8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8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8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8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85A"/>
    <w:rPr>
      <w:i/>
    </w:rPr>
  </w:style>
  <w:style w:type="paragraph" w:styleId="Caption">
    <w:name w:val="caption"/>
    <w:basedOn w:val="BodyText"/>
    <w:next w:val="Normal"/>
    <w:qFormat/>
    <w:rsid w:val="004858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8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8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85A"/>
  </w:style>
  <w:style w:type="paragraph" w:styleId="TableofFigures">
    <w:name w:val="table of figures"/>
    <w:basedOn w:val="Normal"/>
    <w:next w:val="Normal"/>
    <w:semiHidden/>
    <w:rsid w:val="004858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8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585A"/>
    <w:rPr>
      <w:rFonts w:ascii="Wingdings" w:hAnsi="Wingdings"/>
    </w:rPr>
  </w:style>
  <w:style w:type="paragraph" w:customStyle="1" w:styleId="TableHeading">
    <w:name w:val="Table Heading"/>
    <w:basedOn w:val="HeadingBase"/>
    <w:rsid w:val="004858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85A"/>
    <w:rPr>
      <w:color w:val="0033CC"/>
      <w:u w:val="none"/>
    </w:rPr>
  </w:style>
  <w:style w:type="paragraph" w:customStyle="1" w:styleId="BodyTextRight">
    <w:name w:val="Body Text Right"/>
    <w:basedOn w:val="BodyText"/>
    <w:rsid w:val="004858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8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8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8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8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8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85A"/>
    <w:rPr>
      <w:sz w:val="32"/>
    </w:rPr>
  </w:style>
  <w:style w:type="paragraph" w:customStyle="1" w:styleId="HeadingProcedure">
    <w:name w:val="Heading Procedure"/>
    <w:basedOn w:val="HeadingBase"/>
    <w:next w:val="Normal"/>
    <w:rsid w:val="004858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85A"/>
    <w:pPr>
      <w:spacing w:before="60" w:after="60"/>
    </w:pPr>
  </w:style>
  <w:style w:type="paragraph" w:styleId="ListContinue">
    <w:name w:val="List Continue"/>
    <w:basedOn w:val="List"/>
    <w:rsid w:val="0048585A"/>
    <w:pPr>
      <w:ind w:firstLine="0"/>
    </w:pPr>
  </w:style>
  <w:style w:type="paragraph" w:customStyle="1" w:styleId="ListNote">
    <w:name w:val="List Note"/>
    <w:basedOn w:val="List"/>
    <w:rsid w:val="004858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8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8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85A"/>
    <w:rPr>
      <w:rFonts w:ascii="Courier New" w:hAnsi="Courier New"/>
    </w:rPr>
  </w:style>
  <w:style w:type="paragraph" w:customStyle="1" w:styleId="NoteBullet">
    <w:name w:val="Note Bullet"/>
    <w:basedOn w:val="Note"/>
    <w:rsid w:val="004858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8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8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8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8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58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8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85A"/>
    <w:rPr>
      <w:b/>
      <w:smallCaps/>
    </w:rPr>
  </w:style>
  <w:style w:type="paragraph" w:customStyle="1" w:styleId="TableListNumber">
    <w:name w:val="Table List Number"/>
    <w:basedOn w:val="ListNumber"/>
    <w:rsid w:val="004858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8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85A"/>
    <w:pPr>
      <w:numPr>
        <w:numId w:val="9"/>
      </w:numPr>
    </w:pPr>
  </w:style>
  <w:style w:type="paragraph" w:customStyle="1" w:styleId="ListAlpha2">
    <w:name w:val="List Alpha 2"/>
    <w:basedOn w:val="List2"/>
    <w:rsid w:val="0048585A"/>
    <w:pPr>
      <w:numPr>
        <w:numId w:val="8"/>
      </w:numPr>
    </w:pPr>
  </w:style>
  <w:style w:type="paragraph" w:styleId="List2">
    <w:name w:val="List 2"/>
    <w:basedOn w:val="BodyText"/>
    <w:rsid w:val="004858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8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8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8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8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8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585A"/>
    <w:pPr>
      <w:numPr>
        <w:numId w:val="4"/>
      </w:numPr>
    </w:pPr>
  </w:style>
  <w:style w:type="paragraph" w:styleId="ListContinue2">
    <w:name w:val="List Continue 2"/>
    <w:basedOn w:val="List2"/>
    <w:rsid w:val="0048585A"/>
    <w:pPr>
      <w:ind w:firstLine="0"/>
    </w:pPr>
  </w:style>
  <w:style w:type="paragraph" w:styleId="ListContinue3">
    <w:name w:val="List Continue 3"/>
    <w:basedOn w:val="List3"/>
    <w:rsid w:val="0048585A"/>
    <w:pPr>
      <w:ind w:left="1021" w:firstLine="0"/>
    </w:pPr>
  </w:style>
  <w:style w:type="paragraph" w:styleId="ListContinue4">
    <w:name w:val="List Continue 4"/>
    <w:basedOn w:val="List4"/>
    <w:rsid w:val="0048585A"/>
    <w:pPr>
      <w:ind w:firstLine="0"/>
    </w:pPr>
  </w:style>
  <w:style w:type="paragraph" w:styleId="ListContinue5">
    <w:name w:val="List Continue 5"/>
    <w:basedOn w:val="List5"/>
    <w:rsid w:val="0048585A"/>
    <w:pPr>
      <w:ind w:firstLine="0"/>
    </w:pPr>
  </w:style>
  <w:style w:type="paragraph" w:styleId="ListNumber3">
    <w:name w:val="List Number 3"/>
    <w:basedOn w:val="List3"/>
    <w:rsid w:val="0048585A"/>
    <w:pPr>
      <w:numPr>
        <w:numId w:val="5"/>
      </w:numPr>
    </w:pPr>
  </w:style>
  <w:style w:type="paragraph" w:styleId="ListNumber4">
    <w:name w:val="List Number 4"/>
    <w:basedOn w:val="List4"/>
    <w:rsid w:val="0048585A"/>
    <w:pPr>
      <w:numPr>
        <w:numId w:val="6"/>
      </w:numPr>
    </w:pPr>
  </w:style>
  <w:style w:type="paragraph" w:styleId="ListNumber5">
    <w:name w:val="List Number 5"/>
    <w:basedOn w:val="List5"/>
    <w:rsid w:val="0048585A"/>
    <w:pPr>
      <w:numPr>
        <w:numId w:val="7"/>
      </w:numPr>
    </w:pPr>
  </w:style>
  <w:style w:type="paragraph" w:styleId="BlockText">
    <w:name w:val="Block Text"/>
    <w:basedOn w:val="Normal"/>
    <w:rsid w:val="004858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8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85A"/>
    <w:rPr>
      <w:sz w:val="16"/>
      <w:vertAlign w:val="superscript"/>
    </w:rPr>
  </w:style>
  <w:style w:type="character" w:customStyle="1" w:styleId="Symbols">
    <w:name w:val="Symbols"/>
    <w:basedOn w:val="DefaultParagraphFont"/>
    <w:rsid w:val="0048585A"/>
    <w:rPr>
      <w:rFonts w:ascii="Symbol" w:hAnsi="Symbol"/>
    </w:rPr>
  </w:style>
  <w:style w:type="character" w:customStyle="1" w:styleId="MenuOptions">
    <w:name w:val="Menu Options"/>
    <w:basedOn w:val="DefaultParagraphFont"/>
    <w:rsid w:val="004858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85A"/>
    <w:rPr>
      <w:b/>
    </w:rPr>
  </w:style>
  <w:style w:type="character" w:customStyle="1" w:styleId="Underlined">
    <w:name w:val="Underlined"/>
    <w:basedOn w:val="DefaultParagraphFont"/>
    <w:rsid w:val="0048585A"/>
    <w:rPr>
      <w:u w:val="single"/>
    </w:rPr>
  </w:style>
  <w:style w:type="paragraph" w:customStyle="1" w:styleId="TableBodyTextRight">
    <w:name w:val="Table Body Text Right"/>
    <w:basedOn w:val="TableBodyText"/>
    <w:rsid w:val="004858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85A"/>
    <w:rPr>
      <w:sz w:val="18"/>
    </w:rPr>
  </w:style>
  <w:style w:type="paragraph" w:customStyle="1" w:styleId="BodySmallRight">
    <w:name w:val="Body Small Right"/>
    <w:basedOn w:val="BodyTextRight"/>
    <w:rsid w:val="0048585A"/>
    <w:rPr>
      <w:sz w:val="18"/>
      <w:szCs w:val="18"/>
    </w:rPr>
  </w:style>
  <w:style w:type="paragraph" w:customStyle="1" w:styleId="MarginEdition">
    <w:name w:val="Margin Edition"/>
    <w:basedOn w:val="MarginNote"/>
    <w:rsid w:val="004858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85A"/>
    <w:rPr>
      <w:sz w:val="2"/>
      <w:szCs w:val="2"/>
    </w:rPr>
  </w:style>
  <w:style w:type="character" w:customStyle="1" w:styleId="Small">
    <w:name w:val="Small"/>
    <w:basedOn w:val="DefaultParagraphFont"/>
    <w:rsid w:val="0048585A"/>
    <w:rPr>
      <w:sz w:val="16"/>
    </w:rPr>
  </w:style>
  <w:style w:type="paragraph" w:customStyle="1" w:styleId="WideTable">
    <w:name w:val="Wide Table"/>
    <w:basedOn w:val="Normal"/>
    <w:rsid w:val="004858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85A"/>
  </w:style>
  <w:style w:type="paragraph" w:styleId="Quote">
    <w:name w:val="Quote"/>
    <w:basedOn w:val="Heading1"/>
    <w:link w:val="QuoteChar"/>
    <w:qFormat/>
    <w:rsid w:val="004858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8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85A"/>
    <w:pPr>
      <w:pageBreakBefore/>
    </w:pPr>
  </w:style>
  <w:style w:type="paragraph" w:customStyle="1" w:styleId="Border">
    <w:name w:val="Border"/>
    <w:basedOn w:val="Normal"/>
    <w:qFormat/>
    <w:rsid w:val="004858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8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8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8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8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8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8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8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8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85A"/>
    <w:rPr>
      <w:u w:val="single"/>
    </w:rPr>
  </w:style>
  <w:style w:type="character" w:customStyle="1" w:styleId="BoldandItalics">
    <w:name w:val="Bold and Italics"/>
    <w:qFormat/>
    <w:rsid w:val="0048585A"/>
    <w:rPr>
      <w:b/>
      <w:i/>
      <w:u w:val="none"/>
    </w:rPr>
  </w:style>
  <w:style w:type="paragraph" w:styleId="BalloonText">
    <w:name w:val="Balloon Text"/>
    <w:basedOn w:val="Normal"/>
    <w:link w:val="BalloonTextChar"/>
    <w:rsid w:val="004858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8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8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8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8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8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85A"/>
    <w:pPr>
      <w:spacing w:before="0" w:after="0"/>
    </w:pPr>
  </w:style>
  <w:style w:type="paragraph" w:customStyle="1" w:styleId="BodyTextBold">
    <w:name w:val="Body Text Bold"/>
    <w:basedOn w:val="BodyText"/>
    <w:qFormat/>
    <w:rsid w:val="0048585A"/>
    <w:rPr>
      <w:b/>
    </w:rPr>
  </w:style>
  <w:style w:type="character" w:styleId="Hyperlink">
    <w:name w:val="Hyperlink"/>
    <w:basedOn w:val="DefaultParagraphFont"/>
    <w:uiPriority w:val="99"/>
    <w:unhideWhenUsed/>
    <w:rsid w:val="006F2E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3814</Characters>
  <Application>Microsoft Office Word</Application>
  <DocSecurity>0</DocSecurity>
  <Lines>100</Lines>
  <Paragraphs>79</Paragraphs>
  <ScaleCrop>false</ScaleCrop>
  <Company>Author-it Software Corporation Ltd.</Company>
  <LinksUpToDate>false</LinksUpToDate>
  <CharactersWithSpaces>4296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CPPINV3033 Conduct covert surveillance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2022-12-19T06:30:00Z</dcterms:created>
  <dcterms:modified xsi:type="dcterms:W3CDTF">2022-12-19T06:30:00Z</dcterms:modified>
</cp:coreProperties>
</file>