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974" w:rsidP="000A2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CPPINV3027 Develop investigation plans</w:t>
      </w:r>
      <w:r>
        <w:fldChar w:fldCharType="end"/>
      </w:r>
    </w:p>
    <w:p w:rsidR="000A2974" w:rsidP="000A2974">
      <w:pPr>
        <w:pStyle w:val="Version"/>
        <w:sectPr w:rsidSect="00C07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2E1" w:rsidP="00C072E1">
      <w:pPr>
        <w:pStyle w:val="SuperHeading"/>
      </w:pPr>
      <w:r w:rsidRPr="00C072E1">
        <w:t>Assessment Requirements for CPPINV3027 Develop investigation plans</w:t>
      </w:r>
    </w:p>
    <w:p w:rsidR="00000000" w:rsidRPr="00C072E1" w:rsidP="00C072E1">
      <w:pPr>
        <w:pStyle w:val="Heading1"/>
      </w:pPr>
      <w:bookmarkStart w:id="1" w:name="O_1052731"/>
      <w:bookmarkEnd w:id="1"/>
      <w:r w:rsidRPr="00C072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07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E1">
            <w:pPr>
              <w:pStyle w:val="BodyText"/>
              <w:rPr>
                <w:lang w:val="en-NZ"/>
              </w:rPr>
            </w:pPr>
            <w:r w:rsidRPr="00C072E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E1" w:rsidP="00C072E1">
            <w:pPr>
              <w:pStyle w:val="BodyText"/>
            </w:pPr>
            <w:r w:rsidRPr="00C072E1">
              <w:t>This version first released with CPP Property Services Training Package Release 9.0.</w:t>
            </w:r>
          </w:p>
          <w:p w:rsidR="00000000" w:rsidRPr="00C072E1" w:rsidP="00C072E1">
            <w:pPr>
              <w:pStyle w:val="BodyText"/>
            </w:pPr>
            <w:r w:rsidRPr="00C072E1">
              <w:t>Supersedes and is equivalent to CPPSEC30</w:t>
            </w:r>
            <w:r w:rsidRPr="00C072E1">
              <w:t>27A Develop investigative plan. Updated to meet the Standards for Training Packages</w:t>
            </w:r>
          </w:p>
        </w:tc>
      </w:tr>
    </w:tbl>
    <w:p w:rsidR="00000000" w:rsidRPr="00C072E1" w:rsidP="00C072E1">
      <w:pPr>
        <w:pStyle w:val="BodyText"/>
      </w:pPr>
    </w:p>
    <w:p w:rsidR="00000000" w:rsidRPr="00C072E1" w:rsidP="00C072E1">
      <w:pPr>
        <w:pStyle w:val="AllowPageBreak"/>
      </w:pPr>
    </w:p>
    <w:p w:rsidR="00000000" w:rsidRPr="00C072E1" w:rsidP="00C072E1">
      <w:pPr>
        <w:pStyle w:val="Heading1"/>
      </w:pPr>
      <w:bookmarkStart w:id="2" w:name="O_1052734"/>
      <w:bookmarkEnd w:id="2"/>
      <w:r w:rsidRPr="00C072E1">
        <w:t>Performance Evidence</w:t>
      </w:r>
    </w:p>
    <w:p w:rsidR="00000000" w:rsidRPr="00C072E1" w:rsidP="000A2974">
      <w:pPr>
        <w:pStyle w:val="BodyText"/>
      </w:pPr>
      <w:r w:rsidRPr="00C072E1">
        <w:t>To demonstrate competency, a candidate must meet the performance criteria of this unit by developing three different investigation</w:t>
      </w:r>
      <w:r w:rsidRPr="00C072E1">
        <w:t xml:space="preserve"> plans:</w:t>
      </w:r>
    </w:p>
    <w:p w:rsidR="00000000" w:rsidRPr="00C072E1" w:rsidP="00C072E1">
      <w:pPr>
        <w:pStyle w:val="ListBullet"/>
      </w:pPr>
      <w:r w:rsidRPr="00C072E1">
        <w:t>two factual investigation plans:</w:t>
      </w:r>
    </w:p>
    <w:p w:rsidR="00000000" w:rsidRPr="00C072E1" w:rsidP="00C072E1">
      <w:pPr>
        <w:pStyle w:val="ListBullet2"/>
      </w:pPr>
      <w:r w:rsidRPr="00C072E1">
        <w:t xml:space="preserve">one for a general insurance investigation </w:t>
      </w:r>
      <w:r w:rsidRPr="00C072E1">
        <w:rPr>
          <w:rStyle w:val="SpecialBold"/>
        </w:rPr>
        <w:t>or</w:t>
      </w:r>
      <w:r w:rsidRPr="00C072E1">
        <w:t xml:space="preserve"> one for a financial crime investigation</w:t>
      </w:r>
    </w:p>
    <w:p w:rsidR="00000000" w:rsidRPr="00C072E1" w:rsidP="00C072E1">
      <w:pPr>
        <w:pStyle w:val="ListBullet2"/>
      </w:pPr>
      <w:r w:rsidRPr="00C072E1">
        <w:t xml:space="preserve">one for a workers compensation investigation </w:t>
      </w:r>
      <w:r w:rsidRPr="00C072E1">
        <w:rPr>
          <w:rStyle w:val="SpecialBold"/>
        </w:rPr>
        <w:t>or</w:t>
      </w:r>
      <w:r w:rsidRPr="00C072E1">
        <w:t xml:space="preserve"> one internal discipline investigation</w:t>
      </w:r>
    </w:p>
    <w:p w:rsidR="00000000" w:rsidRPr="00C072E1" w:rsidP="00C072E1">
      <w:pPr>
        <w:pStyle w:val="ListBullet"/>
      </w:pPr>
      <w:r w:rsidRPr="00C072E1">
        <w:t>one surveillance investigation plan.</w:t>
      </w:r>
    </w:p>
    <w:p w:rsidR="00000000" w:rsidRPr="00C072E1" w:rsidP="00C072E1">
      <w:pPr>
        <w:pStyle w:val="AllowPageBreak"/>
      </w:pPr>
    </w:p>
    <w:p w:rsidR="00000000" w:rsidRPr="00C072E1" w:rsidP="00C072E1">
      <w:pPr>
        <w:pStyle w:val="Heading1"/>
      </w:pPr>
      <w:bookmarkStart w:id="3" w:name="O_1052733"/>
      <w:bookmarkEnd w:id="3"/>
      <w:r w:rsidRPr="00C072E1">
        <w:t>Knowledge Evidence</w:t>
      </w:r>
    </w:p>
    <w:p w:rsidR="00000000" w:rsidRPr="00C072E1" w:rsidP="000A2974">
      <w:pPr>
        <w:pStyle w:val="BodyText"/>
      </w:pPr>
      <w:r w:rsidRPr="00C072E1">
        <w:t>To be competent in this unit, a candidate must demonstrate knowledge of:</w:t>
      </w:r>
    </w:p>
    <w:p w:rsidR="00000000" w:rsidRPr="00C072E1" w:rsidP="00C072E1">
      <w:pPr>
        <w:pStyle w:val="ListBullet"/>
      </w:pPr>
      <w:r w:rsidRPr="00C072E1">
        <w:t>workplace policies and procedures that ensure compliance with legislative and regulatory requirements when developing investigation plans:</w:t>
      </w:r>
    </w:p>
    <w:p w:rsidR="00000000" w:rsidRPr="00C072E1" w:rsidP="00C072E1">
      <w:pPr>
        <w:pStyle w:val="ListBullet2"/>
      </w:pPr>
      <w:r w:rsidRPr="00C072E1">
        <w:t>autho</w:t>
      </w:r>
      <w:r w:rsidRPr="00C072E1">
        <w:t>rities and legal rights of investigators</w:t>
      </w:r>
    </w:p>
    <w:p w:rsidR="00000000" w:rsidRPr="00C072E1" w:rsidP="00C072E1">
      <w:pPr>
        <w:pStyle w:val="ListBullet2"/>
      </w:pPr>
      <w:r w:rsidRPr="00C072E1">
        <w:t>investigative actions that may result in breach of confidence, privacy or other offence under legislation</w:t>
      </w:r>
    </w:p>
    <w:p w:rsidR="00000000" w:rsidRPr="00C072E1" w:rsidP="00C072E1">
      <w:pPr>
        <w:pStyle w:val="ListBullet2"/>
      </w:pPr>
      <w:r w:rsidRPr="00C072E1">
        <w:t>legislative restrictions on the use of recording devices</w:t>
      </w:r>
    </w:p>
    <w:p w:rsidR="00000000" w:rsidRPr="00C072E1" w:rsidP="00C072E1">
      <w:pPr>
        <w:pStyle w:val="ListBullet2"/>
      </w:pPr>
      <w:r w:rsidRPr="00C072E1">
        <w:t>work health and safety requirements</w:t>
      </w:r>
    </w:p>
    <w:p w:rsidR="00000000" w:rsidRPr="00C072E1" w:rsidP="00C072E1">
      <w:pPr>
        <w:pStyle w:val="ListBullet"/>
      </w:pPr>
      <w:r w:rsidRPr="00C072E1">
        <w:t>equipment and r</w:t>
      </w:r>
      <w:r w:rsidRPr="00C072E1">
        <w:t>esources used to conduct investigations involving factual and surveillance investigative methods</w:t>
      </w:r>
    </w:p>
    <w:p w:rsidR="00000000" w:rsidRPr="00C072E1" w:rsidP="00C072E1">
      <w:pPr>
        <w:pStyle w:val="ListBullet"/>
      </w:pPr>
      <w:r w:rsidRPr="00C072E1">
        <w:t>purpose, benefits and limitations of different investigation methods:</w:t>
      </w:r>
    </w:p>
    <w:p w:rsidR="00000000" w:rsidRPr="00C072E1" w:rsidP="00C072E1">
      <w:pPr>
        <w:pStyle w:val="ListBullet2"/>
      </w:pPr>
      <w:r w:rsidRPr="00C072E1">
        <w:t>factual</w:t>
      </w:r>
    </w:p>
    <w:p w:rsidR="00000000" w:rsidRPr="00C072E1" w:rsidP="00C072E1">
      <w:pPr>
        <w:pStyle w:val="ListBullet2"/>
      </w:pPr>
      <w:r w:rsidRPr="00C072E1">
        <w:t>surveillance</w:t>
      </w:r>
    </w:p>
    <w:p w:rsidR="00000000" w:rsidRPr="00C072E1" w:rsidP="00C072E1">
      <w:pPr>
        <w:pStyle w:val="ListBullet"/>
      </w:pPr>
      <w:r w:rsidRPr="00C072E1">
        <w:t>sources of evidence and methods for:</w:t>
      </w:r>
    </w:p>
    <w:p w:rsidR="00000000" w:rsidRPr="00C072E1" w:rsidP="00C072E1">
      <w:pPr>
        <w:pStyle w:val="ListBullet2"/>
      </w:pPr>
      <w:r w:rsidRPr="00C072E1">
        <w:t>collecting, preserving and presenting evidence during an investigation</w:t>
      </w:r>
    </w:p>
    <w:p w:rsidR="00000000" w:rsidRPr="00C072E1" w:rsidP="00C072E1">
      <w:pPr>
        <w:pStyle w:val="ListBullet2"/>
      </w:pPr>
      <w:r w:rsidRPr="00C072E1">
        <w:t>ensuring continuity of evidence and chain of custody during investigations</w:t>
      </w:r>
    </w:p>
    <w:p w:rsidR="00000000" w:rsidRPr="00C072E1" w:rsidP="00C072E1">
      <w:pPr>
        <w:pStyle w:val="ListBullet"/>
      </w:pPr>
      <w:r w:rsidRPr="00C072E1">
        <w:t>techniques for sourcing and validating information when planning investigations.</w:t>
      </w:r>
    </w:p>
    <w:p w:rsidR="00000000" w:rsidRPr="00C072E1" w:rsidP="00C072E1">
      <w:pPr>
        <w:pStyle w:val="AllowPageBreak"/>
      </w:pPr>
    </w:p>
    <w:p w:rsidR="00000000" w:rsidRPr="00C072E1" w:rsidP="00C072E1">
      <w:pPr>
        <w:pStyle w:val="Heading1"/>
      </w:pPr>
      <w:bookmarkStart w:id="4" w:name="O_1052732"/>
      <w:bookmarkEnd w:id="4"/>
      <w:r w:rsidRPr="00C072E1">
        <w:t>Assessmen</w:t>
      </w:r>
      <w:r w:rsidRPr="00C072E1">
        <w:t>t Conditions</w:t>
      </w:r>
    </w:p>
    <w:p w:rsidR="00000000" w:rsidRPr="00C072E1" w:rsidP="000A2974">
      <w:pPr>
        <w:pStyle w:val="BodyText"/>
      </w:pPr>
      <w:r w:rsidRPr="00C072E1">
        <w:t>Assessors must meet the requirements for assessors contained in the Standards for Registered Training Organisations.</w:t>
      </w:r>
    </w:p>
    <w:p w:rsidR="00000000" w:rsidRPr="00C072E1" w:rsidP="000A2974">
      <w:pPr>
        <w:pStyle w:val="BodyText"/>
      </w:pPr>
      <w:r w:rsidRPr="00C072E1">
        <w:t>All individuals engaged by an RTO for investigations licensing purposes must hold the licence for performing the investigation</w:t>
      </w:r>
      <w:r w:rsidRPr="00C072E1">
        <w:t>s activities for which the individual is providing training or assessment.  Regulators may impose other assessor conditions to meet jurisdictional assessment requirements.</w:t>
      </w:r>
    </w:p>
    <w:p w:rsidR="00000000" w:rsidRPr="00C072E1" w:rsidP="000A2974">
      <w:pPr>
        <w:pStyle w:val="BodyText"/>
      </w:pPr>
      <w:r w:rsidRPr="00C072E1">
        <w:t>Assessment must be conducted in the workplace or in a simulated workplace environmen</w:t>
      </w:r>
      <w:r w:rsidRPr="00C072E1">
        <w:t>t. Candidates must have access to:</w:t>
      </w:r>
    </w:p>
    <w:p w:rsidR="00000000" w:rsidRPr="00C072E1" w:rsidP="00C072E1">
      <w:pPr>
        <w:pStyle w:val="ListBullet"/>
      </w:pPr>
      <w:r w:rsidRPr="00C072E1">
        <w:t>investigation briefs and associated documentation, information technologies and materials required to achieve the performance evidence.</w:t>
      </w:r>
    </w:p>
    <w:p w:rsidR="00000000" w:rsidRPr="00C072E1" w:rsidP="00C072E1">
      <w:pPr>
        <w:pStyle w:val="AllowPageBreak"/>
      </w:pPr>
    </w:p>
    <w:p w:rsidR="00000000" w:rsidRPr="00C072E1" w:rsidP="00C072E1">
      <w:pPr>
        <w:pStyle w:val="Heading1"/>
      </w:pPr>
      <w:bookmarkStart w:id="5" w:name="O_1052730"/>
      <w:bookmarkEnd w:id="5"/>
      <w:r w:rsidRPr="00C072E1">
        <w:t>Links</w:t>
      </w:r>
    </w:p>
    <w:p w:rsidR="00000000" w:rsidRPr="00C072E1" w:rsidP="000A2974">
      <w:pPr>
        <w:pStyle w:val="BodyText"/>
      </w:pPr>
      <w:r w:rsidRPr="00C072E1">
        <w:t>Companion volumes to this training package are available at</w:t>
      </w:r>
      <w:r w:rsidRPr="00C072E1">
        <w:t xml:space="preserve">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3697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072E1" w:rsidP="00C072E1"/>
    <w:sectPr w:rsidSect="00C072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E1" w:rsidRPr="000A2974" w:rsidP="000A2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974" w:rsidP="00C07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2974" w:rsidP="00C07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A2974" w:rsidP="00C07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2E1" w:rsidRPr="000A2974" w:rsidP="000A2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974" w:rsidRPr="002D2AF8" w:rsidP="00C07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CPPINV3027 Develop investigation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A2974" w:rsidP="00C07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F0BF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5C9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20A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2E1"/>
  </w:style>
  <w:style w:type="character" w:customStyle="1" w:styleId="Heading1Char">
    <w:name w:val="Heading 1 Char"/>
    <w:basedOn w:val="DefaultParagraphFont"/>
    <w:link w:val="Heading1"/>
    <w:rsid w:val="00C07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2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2E1"/>
    <w:rPr>
      <w:b/>
      <w:spacing w:val="0"/>
    </w:rPr>
  </w:style>
  <w:style w:type="paragraph" w:styleId="ListBullet2">
    <w:name w:val="List Bullet 2"/>
    <w:basedOn w:val="List2"/>
    <w:rsid w:val="00C072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7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2E1"/>
    <w:rPr>
      <w:i/>
    </w:rPr>
  </w:style>
  <w:style w:type="paragraph" w:styleId="Caption">
    <w:name w:val="caption"/>
    <w:basedOn w:val="BodyText"/>
    <w:next w:val="Normal"/>
    <w:qFormat/>
    <w:rsid w:val="00C07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2E1"/>
  </w:style>
  <w:style w:type="paragraph" w:styleId="TableofFigures">
    <w:name w:val="table of figures"/>
    <w:basedOn w:val="Normal"/>
    <w:next w:val="Normal"/>
    <w:semiHidden/>
    <w:rsid w:val="00C07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2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2E1"/>
    <w:rPr>
      <w:rFonts w:ascii="Wingdings" w:hAnsi="Wingdings"/>
    </w:rPr>
  </w:style>
  <w:style w:type="paragraph" w:customStyle="1" w:styleId="TableHeading">
    <w:name w:val="Table Heading"/>
    <w:basedOn w:val="HeadingBase"/>
    <w:rsid w:val="00C07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2E1"/>
    <w:rPr>
      <w:color w:val="0033CC"/>
      <w:u w:val="none"/>
    </w:rPr>
  </w:style>
  <w:style w:type="paragraph" w:customStyle="1" w:styleId="BodyTextRight">
    <w:name w:val="Body Text Right"/>
    <w:basedOn w:val="BodyText"/>
    <w:rsid w:val="00C07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2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2E1"/>
    <w:rPr>
      <w:sz w:val="32"/>
    </w:rPr>
  </w:style>
  <w:style w:type="paragraph" w:customStyle="1" w:styleId="HeadingProcedure">
    <w:name w:val="Heading Procedure"/>
    <w:basedOn w:val="HeadingBase"/>
    <w:next w:val="Normal"/>
    <w:rsid w:val="00C07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2E1"/>
    <w:pPr>
      <w:spacing w:before="60" w:after="60"/>
    </w:pPr>
  </w:style>
  <w:style w:type="paragraph" w:styleId="ListContinue">
    <w:name w:val="List Continue"/>
    <w:basedOn w:val="List"/>
    <w:rsid w:val="00C072E1"/>
    <w:pPr>
      <w:ind w:firstLine="0"/>
    </w:pPr>
  </w:style>
  <w:style w:type="paragraph" w:customStyle="1" w:styleId="ListNote">
    <w:name w:val="List Note"/>
    <w:basedOn w:val="List"/>
    <w:rsid w:val="00C07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2E1"/>
    <w:rPr>
      <w:rFonts w:ascii="Courier New" w:hAnsi="Courier New"/>
    </w:rPr>
  </w:style>
  <w:style w:type="paragraph" w:customStyle="1" w:styleId="NoteBullet">
    <w:name w:val="Note Bullet"/>
    <w:basedOn w:val="Note"/>
    <w:rsid w:val="00C07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2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2E1"/>
    <w:rPr>
      <w:b/>
      <w:smallCaps/>
    </w:rPr>
  </w:style>
  <w:style w:type="paragraph" w:customStyle="1" w:styleId="TableListNumber">
    <w:name w:val="Table List Number"/>
    <w:basedOn w:val="ListNumber"/>
    <w:rsid w:val="00C07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2E1"/>
    <w:pPr>
      <w:numPr>
        <w:numId w:val="9"/>
      </w:numPr>
    </w:pPr>
  </w:style>
  <w:style w:type="paragraph" w:customStyle="1" w:styleId="ListAlpha2">
    <w:name w:val="List Alpha 2"/>
    <w:basedOn w:val="List2"/>
    <w:rsid w:val="00C072E1"/>
    <w:pPr>
      <w:numPr>
        <w:numId w:val="8"/>
      </w:numPr>
    </w:pPr>
  </w:style>
  <w:style w:type="paragraph" w:styleId="List2">
    <w:name w:val="List 2"/>
    <w:basedOn w:val="BodyText"/>
    <w:rsid w:val="00C07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2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2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2E1"/>
    <w:pPr>
      <w:numPr>
        <w:numId w:val="4"/>
      </w:numPr>
    </w:pPr>
  </w:style>
  <w:style w:type="paragraph" w:styleId="ListContinue2">
    <w:name w:val="List Continue 2"/>
    <w:basedOn w:val="List2"/>
    <w:rsid w:val="00C072E1"/>
    <w:pPr>
      <w:ind w:firstLine="0"/>
    </w:pPr>
  </w:style>
  <w:style w:type="paragraph" w:styleId="ListContinue3">
    <w:name w:val="List Continue 3"/>
    <w:basedOn w:val="List3"/>
    <w:rsid w:val="00C072E1"/>
    <w:pPr>
      <w:ind w:left="1021" w:firstLine="0"/>
    </w:pPr>
  </w:style>
  <w:style w:type="paragraph" w:styleId="ListContinue4">
    <w:name w:val="List Continue 4"/>
    <w:basedOn w:val="List4"/>
    <w:rsid w:val="00C072E1"/>
    <w:pPr>
      <w:ind w:firstLine="0"/>
    </w:pPr>
  </w:style>
  <w:style w:type="paragraph" w:styleId="ListContinue5">
    <w:name w:val="List Continue 5"/>
    <w:basedOn w:val="List5"/>
    <w:rsid w:val="00C072E1"/>
    <w:pPr>
      <w:ind w:firstLine="0"/>
    </w:pPr>
  </w:style>
  <w:style w:type="paragraph" w:styleId="ListNumber3">
    <w:name w:val="List Number 3"/>
    <w:basedOn w:val="List3"/>
    <w:rsid w:val="00C072E1"/>
    <w:pPr>
      <w:numPr>
        <w:numId w:val="5"/>
      </w:numPr>
    </w:pPr>
  </w:style>
  <w:style w:type="paragraph" w:styleId="ListNumber4">
    <w:name w:val="List Number 4"/>
    <w:basedOn w:val="List4"/>
    <w:rsid w:val="00C072E1"/>
    <w:pPr>
      <w:numPr>
        <w:numId w:val="6"/>
      </w:numPr>
    </w:pPr>
  </w:style>
  <w:style w:type="paragraph" w:styleId="ListNumber5">
    <w:name w:val="List Number 5"/>
    <w:basedOn w:val="List5"/>
    <w:rsid w:val="00C072E1"/>
    <w:pPr>
      <w:numPr>
        <w:numId w:val="7"/>
      </w:numPr>
    </w:pPr>
  </w:style>
  <w:style w:type="paragraph" w:styleId="BlockText">
    <w:name w:val="Block Text"/>
    <w:basedOn w:val="Normal"/>
    <w:rsid w:val="00C07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2E1"/>
    <w:rPr>
      <w:sz w:val="16"/>
      <w:vertAlign w:val="superscript"/>
    </w:rPr>
  </w:style>
  <w:style w:type="character" w:customStyle="1" w:styleId="Symbols">
    <w:name w:val="Symbols"/>
    <w:basedOn w:val="DefaultParagraphFont"/>
    <w:rsid w:val="00C072E1"/>
    <w:rPr>
      <w:rFonts w:ascii="Symbol" w:hAnsi="Symbol"/>
    </w:rPr>
  </w:style>
  <w:style w:type="character" w:customStyle="1" w:styleId="MenuOptions">
    <w:name w:val="Menu Options"/>
    <w:basedOn w:val="DefaultParagraphFont"/>
    <w:rsid w:val="00C07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2E1"/>
    <w:rPr>
      <w:b/>
    </w:rPr>
  </w:style>
  <w:style w:type="character" w:customStyle="1" w:styleId="Underlined">
    <w:name w:val="Underlined"/>
    <w:basedOn w:val="DefaultParagraphFont"/>
    <w:rsid w:val="00C072E1"/>
    <w:rPr>
      <w:u w:val="single"/>
    </w:rPr>
  </w:style>
  <w:style w:type="paragraph" w:customStyle="1" w:styleId="TableBodyTextRight">
    <w:name w:val="Table Body Text Right"/>
    <w:basedOn w:val="TableBodyText"/>
    <w:rsid w:val="00C07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2E1"/>
    <w:rPr>
      <w:sz w:val="18"/>
    </w:rPr>
  </w:style>
  <w:style w:type="paragraph" w:customStyle="1" w:styleId="BodySmallRight">
    <w:name w:val="Body Small Right"/>
    <w:basedOn w:val="BodyTextRight"/>
    <w:rsid w:val="00C072E1"/>
    <w:rPr>
      <w:sz w:val="18"/>
      <w:szCs w:val="18"/>
    </w:rPr>
  </w:style>
  <w:style w:type="paragraph" w:customStyle="1" w:styleId="MarginEdition">
    <w:name w:val="Margin Edition"/>
    <w:basedOn w:val="MarginNote"/>
    <w:rsid w:val="00C07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2E1"/>
    <w:rPr>
      <w:sz w:val="2"/>
      <w:szCs w:val="2"/>
    </w:rPr>
  </w:style>
  <w:style w:type="character" w:customStyle="1" w:styleId="Small">
    <w:name w:val="Small"/>
    <w:basedOn w:val="DefaultParagraphFont"/>
    <w:rsid w:val="00C072E1"/>
    <w:rPr>
      <w:sz w:val="16"/>
    </w:rPr>
  </w:style>
  <w:style w:type="paragraph" w:customStyle="1" w:styleId="WideTable">
    <w:name w:val="Wide Table"/>
    <w:basedOn w:val="Normal"/>
    <w:rsid w:val="00C07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2E1"/>
  </w:style>
  <w:style w:type="paragraph" w:styleId="Quote">
    <w:name w:val="Quote"/>
    <w:basedOn w:val="Heading1"/>
    <w:link w:val="QuoteChar"/>
    <w:qFormat/>
    <w:rsid w:val="00C07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2E1"/>
    <w:pPr>
      <w:pageBreakBefore/>
    </w:pPr>
  </w:style>
  <w:style w:type="paragraph" w:customStyle="1" w:styleId="Border">
    <w:name w:val="Border"/>
    <w:basedOn w:val="Normal"/>
    <w:qFormat/>
    <w:rsid w:val="00C07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2E1"/>
    <w:rPr>
      <w:u w:val="single"/>
    </w:rPr>
  </w:style>
  <w:style w:type="character" w:customStyle="1" w:styleId="BoldandItalics">
    <w:name w:val="Bold and Italics"/>
    <w:qFormat/>
    <w:rsid w:val="00C072E1"/>
    <w:rPr>
      <w:b/>
      <w:i/>
      <w:u w:val="none"/>
    </w:rPr>
  </w:style>
  <w:style w:type="paragraph" w:styleId="BalloonText">
    <w:name w:val="Balloon Text"/>
    <w:basedOn w:val="Normal"/>
    <w:link w:val="BalloonTextChar"/>
    <w:rsid w:val="00C07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2E1"/>
    <w:pPr>
      <w:spacing w:before="0" w:after="0"/>
    </w:pPr>
  </w:style>
  <w:style w:type="paragraph" w:customStyle="1" w:styleId="BodyTextBold">
    <w:name w:val="Body Text Bold"/>
    <w:basedOn w:val="BodyText"/>
    <w:qFormat/>
    <w:rsid w:val="00C072E1"/>
    <w:rPr>
      <w:b/>
    </w:rPr>
  </w:style>
  <w:style w:type="character" w:styleId="Hyperlink">
    <w:name w:val="Hyperlink"/>
    <w:basedOn w:val="DefaultParagraphFont"/>
    <w:uiPriority w:val="99"/>
    <w:unhideWhenUsed/>
    <w:rsid w:val="000A2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2423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CPPINV3027 Develop investigation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