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395" w:rsidP="00DD03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CPPHES5001 Conduct thermal performance assessment of complex residential buildings</w:t>
      </w:r>
      <w:r>
        <w:fldChar w:fldCharType="end"/>
      </w:r>
    </w:p>
    <w:p w:rsidR="00DD0395" w:rsidP="00DD0395">
      <w:pPr>
        <w:pStyle w:val="Version"/>
        <w:sectPr w:rsidSect="005C6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6DC0" w:rsidP="005C6DC0">
      <w:pPr>
        <w:pStyle w:val="SuperHeading"/>
      </w:pPr>
      <w:r w:rsidRPr="005C6DC0">
        <w:t>Assessment Requirements for CPPHES5001 Conduct thermal performance assessment of complex residential buildings</w:t>
      </w:r>
    </w:p>
    <w:p w:rsidR="00000000" w:rsidRPr="005C6DC0" w:rsidP="005C6DC0">
      <w:pPr>
        <w:pStyle w:val="Heading1"/>
      </w:pPr>
      <w:bookmarkStart w:id="1" w:name="O_1186498"/>
      <w:bookmarkEnd w:id="1"/>
      <w:r w:rsidRPr="005C6D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C6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DC0">
            <w:pPr>
              <w:pStyle w:val="BodyText"/>
              <w:rPr>
                <w:lang w:val="en-NZ"/>
              </w:rPr>
            </w:pPr>
            <w:r w:rsidRPr="005C6DC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DC0" w:rsidP="005C6DC0">
            <w:pPr>
              <w:pStyle w:val="BodyText"/>
            </w:pPr>
            <w:r w:rsidRPr="005C6DC0">
              <w:t>This version first released with CPP Property Services Training Package Release 14.0.</w:t>
            </w:r>
          </w:p>
          <w:p w:rsidR="00000000" w:rsidP="005C6DC0">
            <w:pPr>
              <w:pStyle w:val="BodyText"/>
              <w:rPr>
                <w:lang w:val="en-NZ"/>
              </w:rPr>
            </w:pPr>
            <w:r w:rsidRPr="005C6DC0">
              <w:t>Updated reference to reflect correction in Modification History from CPC Property Services 5.0 to CPP Property Services 9.0.</w:t>
            </w:r>
          </w:p>
        </w:tc>
      </w:tr>
      <w:tr w:rsidTr="005C6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DC0">
            <w:pPr>
              <w:pStyle w:val="BodyText"/>
              <w:rPr>
                <w:lang w:val="en-NZ"/>
              </w:rPr>
            </w:pPr>
            <w:r w:rsidRPr="005C6DC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DC0" w:rsidP="005C6DC0">
            <w:pPr>
              <w:pStyle w:val="BodyText"/>
            </w:pPr>
            <w:r w:rsidRPr="005C6DC0">
              <w:t>This version first released with CPC Property Services Training Package Release 5.0.</w:t>
            </w:r>
          </w:p>
          <w:p w:rsidR="00000000" w:rsidRPr="005C6DC0" w:rsidP="005C6DC0">
            <w:pPr>
              <w:pStyle w:val="BodyText"/>
            </w:pPr>
            <w:r w:rsidRPr="005C6DC0">
              <w:t>Supersedes and equivalent to CPPHSA</w:t>
            </w:r>
            <w:r w:rsidRPr="005C6DC0">
              <w:t>5001A Assess thermal performance of complex residential buildings.  Updated to meet the Standards for Training Packages.</w:t>
            </w:r>
          </w:p>
        </w:tc>
      </w:tr>
    </w:tbl>
    <w:p w:rsidR="00000000" w:rsidRPr="005C6DC0" w:rsidP="005C6DC0">
      <w:pPr>
        <w:pStyle w:val="BodyText"/>
      </w:pPr>
    </w:p>
    <w:p w:rsidR="00000000" w:rsidRPr="005C6DC0" w:rsidP="005C6DC0">
      <w:pPr>
        <w:pStyle w:val="AllowPageBreak"/>
      </w:pPr>
    </w:p>
    <w:p w:rsidR="00000000" w:rsidRPr="005C6DC0" w:rsidP="005C6DC0">
      <w:pPr>
        <w:pStyle w:val="Heading1"/>
      </w:pPr>
      <w:bookmarkStart w:id="2" w:name="O_1186497"/>
      <w:bookmarkEnd w:id="2"/>
      <w:r w:rsidRPr="005C6DC0">
        <w:t>Performance Evidence</w:t>
      </w:r>
    </w:p>
    <w:p w:rsidR="00000000" w:rsidRPr="005C6DC0" w:rsidP="00DD0395">
      <w:pPr>
        <w:pStyle w:val="BodyText"/>
      </w:pPr>
      <w:r w:rsidRPr="005C6DC0">
        <w:t>To demonstrate competency, a candidate must meet the performance criteria of this unit by usi</w:t>
      </w:r>
      <w:r w:rsidRPr="005C6DC0">
        <w:t xml:space="preserve">ng an accredited Nationwide House Energy Rating Scheme (NatHERS) software tool to conduct thermal performance assessments of three complex residential buildings. The buildings assessed must include different designs: </w:t>
      </w:r>
    </w:p>
    <w:p w:rsidR="00000000" w:rsidRPr="005C6DC0" w:rsidP="005C6DC0">
      <w:pPr>
        <w:pStyle w:val="ListBullet"/>
      </w:pPr>
      <w:r w:rsidRPr="005C6DC0">
        <w:t>appropriate to a tropical, a temperat</w:t>
      </w:r>
      <w:r w:rsidRPr="005C6DC0">
        <w:t xml:space="preserve">e and a cold climate zone </w:t>
      </w:r>
    </w:p>
    <w:p w:rsidR="00000000" w:rsidRPr="005C6DC0" w:rsidP="005C6DC0">
      <w:pPr>
        <w:pStyle w:val="ListBullet"/>
      </w:pPr>
      <w:r w:rsidRPr="005C6DC0">
        <w:t>to fit sites with different exposures, topography and a wide diurnal temperate range</w:t>
      </w:r>
    </w:p>
    <w:p w:rsidR="00000000" w:rsidRPr="005C6DC0" w:rsidP="005C6DC0">
      <w:pPr>
        <w:pStyle w:val="ListBullet"/>
      </w:pPr>
      <w:r w:rsidRPr="005C6DC0">
        <w:t>that use climate-appropriate construction methods and materials</w:t>
      </w:r>
    </w:p>
    <w:p w:rsidR="00000000" w:rsidRPr="005C6DC0" w:rsidP="00DD0395">
      <w:pPr>
        <w:pStyle w:val="BodyText"/>
      </w:pPr>
      <w:r w:rsidRPr="005C6DC0">
        <w:t>involve complex levels, built shading devices and void arrangements</w:t>
      </w:r>
      <w:r>
        <w:t xml:space="preserve"> </w:t>
      </w:r>
      <w:r w:rsidRPr="005C6DC0">
        <w:t>and incorporate the following:</w:t>
      </w:r>
    </w:p>
    <w:p w:rsidR="00000000" w:rsidRPr="005C6DC0" w:rsidP="005C6DC0">
      <w:pPr>
        <w:pStyle w:val="ListBullet"/>
      </w:pPr>
      <w:r w:rsidRPr="005C6DC0">
        <w:t>one single storey dwelling with:</w:t>
      </w:r>
    </w:p>
    <w:p w:rsidR="00000000" w:rsidRPr="005C6DC0" w:rsidP="005C6DC0">
      <w:pPr>
        <w:pStyle w:val="ListBullet2"/>
      </w:pPr>
      <w:r w:rsidRPr="005C6DC0">
        <w:t>a minimum of three bedrooms</w:t>
      </w:r>
    </w:p>
    <w:p w:rsidR="00000000" w:rsidRPr="005C6DC0" w:rsidP="005C6DC0">
      <w:pPr>
        <w:pStyle w:val="ListBullet2"/>
      </w:pPr>
      <w:r w:rsidRPr="005C6DC0">
        <w:t>one ground floor split level</w:t>
      </w:r>
    </w:p>
    <w:p w:rsidR="00000000" w:rsidRPr="005C6DC0" w:rsidP="005C6DC0">
      <w:pPr>
        <w:pStyle w:val="ListBullet2"/>
      </w:pPr>
      <w:r w:rsidRPr="005C6DC0">
        <w:t>two different ground floor construction</w:t>
      </w:r>
    </w:p>
    <w:p w:rsidR="00000000" w:rsidRPr="005C6DC0" w:rsidP="005C6DC0">
      <w:pPr>
        <w:pStyle w:val="ListBullet2"/>
      </w:pPr>
      <w:r w:rsidRPr="005C6DC0">
        <w:t>three different roof constructions including raked ceilings, sloping walls and at least three</w:t>
      </w:r>
      <w:r w:rsidRPr="005C6DC0">
        <w:t xml:space="preserve"> clerestory windows, dormer construction, split style walls </w:t>
      </w:r>
    </w:p>
    <w:p w:rsidR="00000000" w:rsidRPr="005C6DC0" w:rsidP="005C6DC0">
      <w:pPr>
        <w:pStyle w:val="ListBullet"/>
      </w:pPr>
      <w:r w:rsidRPr="005C6DC0">
        <w:t>one triple storey dwelling (a minimum of four bedrooms) with:</w:t>
      </w:r>
    </w:p>
    <w:p w:rsidR="00000000" w:rsidRPr="005C6DC0" w:rsidP="005C6DC0">
      <w:pPr>
        <w:pStyle w:val="ListBullet2"/>
      </w:pPr>
      <w:r w:rsidRPr="005C6DC0">
        <w:t xml:space="preserve">an underground basement/garage with a different footprint </w:t>
      </w:r>
    </w:p>
    <w:p w:rsidR="00000000" w:rsidRPr="005C6DC0" w:rsidP="005C6DC0">
      <w:pPr>
        <w:pStyle w:val="ListBullet2"/>
      </w:pPr>
      <w:r w:rsidRPr="005C6DC0">
        <w:t>a ground floor and a first floor</w:t>
      </w:r>
    </w:p>
    <w:p w:rsidR="00000000" w:rsidRPr="005C6DC0" w:rsidP="005C6DC0">
      <w:pPr>
        <w:pStyle w:val="ListBullet2"/>
      </w:pPr>
      <w:r w:rsidRPr="005C6DC0">
        <w:t>a habitable attic space with at least t</w:t>
      </w:r>
      <w:r w:rsidRPr="005C6DC0">
        <w:t xml:space="preserve">wo dormer windows </w:t>
      </w:r>
    </w:p>
    <w:p w:rsidR="00000000" w:rsidRPr="005C6DC0" w:rsidP="005C6DC0">
      <w:pPr>
        <w:pStyle w:val="ListBullet2"/>
      </w:pPr>
      <w:r w:rsidRPr="005C6DC0">
        <w:t>a lift from the basement to both the ground floor and first floor</w:t>
      </w:r>
    </w:p>
    <w:p w:rsidR="00000000" w:rsidRPr="005C6DC0" w:rsidP="005C6DC0">
      <w:pPr>
        <w:pStyle w:val="ListBullet"/>
      </w:pPr>
      <w:r w:rsidRPr="005C6DC0">
        <w:t>one open-plan studio apartment.</w:t>
      </w:r>
    </w:p>
    <w:p w:rsidR="00000000" w:rsidRPr="005C6DC0" w:rsidP="00DD0395">
      <w:pPr>
        <w:pStyle w:val="BodyText"/>
      </w:pPr>
      <w:r w:rsidRPr="005C6DC0">
        <w:t>The assessments must be conducted according to the requirements of the software, technical notes and jurisdictional regulations.</w:t>
      </w:r>
    </w:p>
    <w:p w:rsidR="00000000" w:rsidRPr="005C6DC0" w:rsidP="005C6DC0">
      <w:pPr>
        <w:pStyle w:val="Heading1"/>
      </w:pPr>
      <w:bookmarkStart w:id="3" w:name="O_1186496"/>
      <w:bookmarkEnd w:id="3"/>
      <w:r w:rsidRPr="005C6DC0">
        <w:t>Knowledge Evidence</w:t>
      </w:r>
    </w:p>
    <w:p w:rsidR="00000000" w:rsidRPr="005C6DC0" w:rsidP="00DD0395">
      <w:pPr>
        <w:pStyle w:val="BodyText"/>
      </w:pPr>
      <w:r w:rsidRPr="005C6DC0">
        <w:t>To be competent in this unit, a candidate must demonstrate knowledge of:</w:t>
      </w:r>
    </w:p>
    <w:p w:rsidR="00000000" w:rsidRPr="005C6DC0" w:rsidP="005C6DC0">
      <w:pPr>
        <w:pStyle w:val="ListBullet"/>
      </w:pPr>
      <w:r w:rsidRPr="005C6DC0">
        <w:t>Australian climate zones, characteristics and data used in thermal performance assessments</w:t>
      </w:r>
    </w:p>
    <w:p w:rsidR="00000000" w:rsidRPr="005C6DC0" w:rsidP="005C6DC0">
      <w:pPr>
        <w:pStyle w:val="ListBullet"/>
      </w:pPr>
      <w:r w:rsidRPr="005C6DC0">
        <w:t xml:space="preserve">design features that influence the thermal comfort of </w:t>
      </w:r>
      <w:r w:rsidRPr="005C6DC0">
        <w:t>buildings</w:t>
      </w:r>
    </w:p>
    <w:p w:rsidR="00000000" w:rsidRPr="005C6DC0" w:rsidP="005C6DC0">
      <w:pPr>
        <w:pStyle w:val="ListBullet"/>
      </w:pPr>
      <w:r w:rsidRPr="005C6DC0">
        <w:t>energy units of measurement and terminology associated with thermal performance assessments:</w:t>
      </w:r>
    </w:p>
    <w:p w:rsidR="00000000" w:rsidRPr="005C6DC0" w:rsidP="005C6DC0">
      <w:pPr>
        <w:pStyle w:val="ListBullet2"/>
      </w:pPr>
      <w:r w:rsidRPr="005C6DC0">
        <w:t>energy efficiency</w:t>
      </w:r>
    </w:p>
    <w:p w:rsidR="00000000" w:rsidRPr="005C6DC0" w:rsidP="005C6DC0">
      <w:pPr>
        <w:pStyle w:val="ListBullet2"/>
      </w:pPr>
      <w:r w:rsidRPr="005C6DC0">
        <w:t>heating and cooling loads</w:t>
      </w:r>
    </w:p>
    <w:p w:rsidR="00000000" w:rsidRPr="005C6DC0" w:rsidP="005C6DC0">
      <w:pPr>
        <w:pStyle w:val="ListBullet2"/>
      </w:pPr>
      <w:r w:rsidRPr="005C6DC0">
        <w:t>solar heat gain coefficient (SHGC) and U-value</w:t>
      </w:r>
    </w:p>
    <w:p w:rsidR="00000000" w:rsidRPr="005C6DC0" w:rsidP="005C6DC0">
      <w:pPr>
        <w:pStyle w:val="ListBullet2"/>
      </w:pPr>
      <w:r w:rsidRPr="005C6DC0">
        <w:t xml:space="preserve">R-values </w:t>
      </w:r>
    </w:p>
    <w:p w:rsidR="00000000" w:rsidRPr="005C6DC0" w:rsidP="005C6DC0">
      <w:pPr>
        <w:pStyle w:val="ListBullet"/>
      </w:pPr>
      <w:r w:rsidRPr="005C6DC0">
        <w:t>options to improve thermal performance of building</w:t>
      </w:r>
      <w:r w:rsidRPr="005C6DC0">
        <w:t>s:</w:t>
      </w:r>
    </w:p>
    <w:p w:rsidR="00000000" w:rsidRPr="005C6DC0" w:rsidP="005C6DC0">
      <w:pPr>
        <w:pStyle w:val="ListBullet2"/>
      </w:pPr>
      <w:r w:rsidRPr="005C6DC0">
        <w:t>construction materials</w:t>
      </w:r>
    </w:p>
    <w:p w:rsidR="00000000" w:rsidRPr="005C6DC0" w:rsidP="005C6DC0">
      <w:pPr>
        <w:pStyle w:val="ListBullet2"/>
      </w:pPr>
      <w:r w:rsidRPr="005C6DC0">
        <w:t>sealing the building envelope</w:t>
      </w:r>
    </w:p>
    <w:p w:rsidR="00000000" w:rsidRPr="005C6DC0" w:rsidP="005C6DC0">
      <w:pPr>
        <w:pStyle w:val="ListBullet2"/>
      </w:pPr>
      <w:r w:rsidRPr="005C6DC0">
        <w:t>floor coverings</w:t>
      </w:r>
    </w:p>
    <w:p w:rsidR="00000000" w:rsidRPr="005C6DC0" w:rsidP="005C6DC0">
      <w:pPr>
        <w:pStyle w:val="ListBullet2"/>
      </w:pPr>
      <w:r w:rsidRPr="005C6DC0">
        <w:t>insulation levels</w:t>
      </w:r>
    </w:p>
    <w:p w:rsidR="00000000" w:rsidRPr="005C6DC0" w:rsidP="005C6DC0">
      <w:pPr>
        <w:pStyle w:val="ListBullet2"/>
      </w:pPr>
      <w:r w:rsidRPr="005C6DC0">
        <w:t>orientation</w:t>
      </w:r>
    </w:p>
    <w:p w:rsidR="00000000" w:rsidRPr="005C6DC0" w:rsidP="005C6DC0">
      <w:pPr>
        <w:pStyle w:val="ListBullet2"/>
      </w:pPr>
      <w:r w:rsidRPr="005C6DC0">
        <w:t>overshadowing</w:t>
      </w:r>
    </w:p>
    <w:p w:rsidR="00000000" w:rsidRPr="005C6DC0" w:rsidP="005C6DC0">
      <w:pPr>
        <w:pStyle w:val="ListBullet2"/>
      </w:pPr>
      <w:r w:rsidRPr="005C6DC0">
        <w:t>passive heating and cooling</w:t>
      </w:r>
    </w:p>
    <w:p w:rsidR="00000000" w:rsidRPr="005C6DC0" w:rsidP="005C6DC0">
      <w:pPr>
        <w:pStyle w:val="ListBullet2"/>
      </w:pPr>
      <w:r w:rsidRPr="005C6DC0">
        <w:t>shade</w:t>
      </w:r>
    </w:p>
    <w:p w:rsidR="00000000" w:rsidRPr="005C6DC0" w:rsidP="005C6DC0">
      <w:pPr>
        <w:pStyle w:val="ListBullet2"/>
      </w:pPr>
      <w:r w:rsidRPr="005C6DC0">
        <w:t>structural changes</w:t>
      </w:r>
    </w:p>
    <w:p w:rsidR="00000000" w:rsidRPr="005C6DC0" w:rsidP="005C6DC0">
      <w:pPr>
        <w:pStyle w:val="ListBullet2"/>
      </w:pPr>
      <w:r w:rsidRPr="005C6DC0">
        <w:t>thermal mass</w:t>
      </w:r>
    </w:p>
    <w:p w:rsidR="00000000" w:rsidRPr="005C6DC0" w:rsidP="005C6DC0">
      <w:pPr>
        <w:pStyle w:val="ListBullet2"/>
      </w:pPr>
      <w:r w:rsidRPr="005C6DC0">
        <w:t>ventilation</w:t>
      </w:r>
    </w:p>
    <w:p w:rsidR="00000000" w:rsidRPr="005C6DC0" w:rsidP="005C6DC0">
      <w:pPr>
        <w:pStyle w:val="ListBullet2"/>
      </w:pPr>
      <w:r w:rsidRPr="005C6DC0">
        <w:t>window size, location, type and coverings</w:t>
      </w:r>
    </w:p>
    <w:p w:rsidR="00000000" w:rsidRPr="005C6DC0" w:rsidP="005C6DC0">
      <w:pPr>
        <w:pStyle w:val="ListBullet"/>
      </w:pPr>
      <w:r w:rsidRPr="005C6DC0">
        <w:t>principles of passive design:</w:t>
      </w:r>
    </w:p>
    <w:p w:rsidR="00000000" w:rsidRPr="005C6DC0" w:rsidP="005C6DC0">
      <w:pPr>
        <w:pStyle w:val="ListBullet2"/>
      </w:pPr>
      <w:r w:rsidRPr="005C6DC0">
        <w:t>glazing</w:t>
      </w:r>
    </w:p>
    <w:p w:rsidR="00000000" w:rsidRPr="005C6DC0" w:rsidP="005C6DC0">
      <w:pPr>
        <w:pStyle w:val="ListBullet2"/>
      </w:pPr>
      <w:r w:rsidRPr="005C6DC0">
        <w:t>insulation</w:t>
      </w:r>
    </w:p>
    <w:p w:rsidR="00000000" w:rsidRPr="005C6DC0" w:rsidP="005C6DC0">
      <w:pPr>
        <w:pStyle w:val="ListBullet2"/>
      </w:pPr>
      <w:r w:rsidRPr="005C6DC0">
        <w:t>orientation</w:t>
      </w:r>
    </w:p>
    <w:p w:rsidR="00000000" w:rsidRPr="005C6DC0" w:rsidP="005C6DC0">
      <w:pPr>
        <w:pStyle w:val="ListBullet2"/>
      </w:pPr>
      <w:r w:rsidRPr="005C6DC0">
        <w:t>passive cooling</w:t>
      </w:r>
    </w:p>
    <w:p w:rsidR="00000000" w:rsidRPr="005C6DC0" w:rsidP="005C6DC0">
      <w:pPr>
        <w:pStyle w:val="ListBullet2"/>
      </w:pPr>
      <w:r w:rsidRPr="005C6DC0">
        <w:t>passive solar heating</w:t>
      </w:r>
    </w:p>
    <w:p w:rsidR="00000000" w:rsidRPr="005C6DC0" w:rsidP="005C6DC0">
      <w:pPr>
        <w:pStyle w:val="ListBullet2"/>
      </w:pPr>
      <w:r w:rsidRPr="005C6DC0">
        <w:t>shading</w:t>
      </w:r>
    </w:p>
    <w:p w:rsidR="00000000" w:rsidRPr="005C6DC0" w:rsidP="005C6DC0">
      <w:pPr>
        <w:pStyle w:val="ListBullet2"/>
      </w:pPr>
      <w:r w:rsidRPr="005C6DC0">
        <w:t>thermal bridging and breaks</w:t>
      </w:r>
    </w:p>
    <w:p w:rsidR="00000000" w:rsidRPr="005C6DC0" w:rsidP="005C6DC0">
      <w:pPr>
        <w:pStyle w:val="ListBullet"/>
      </w:pPr>
      <w:r w:rsidRPr="005C6DC0">
        <w:t xml:space="preserve">regulatory requirements for thermal performance assessments of residential buildings categorised </w:t>
      </w:r>
      <w:r w:rsidRPr="005C6DC0">
        <w:t>as Class 1, 2, 4 and 10a of the National Construction Code (NCC)</w:t>
      </w:r>
    </w:p>
    <w:p w:rsidR="00000000" w:rsidRPr="005C6DC0" w:rsidP="005C6DC0">
      <w:pPr>
        <w:pStyle w:val="ListBullet"/>
      </w:pPr>
      <w:r w:rsidRPr="005C6DC0">
        <w:t>thermal performance properties of a variety of building materials:</w:t>
      </w:r>
    </w:p>
    <w:p w:rsidR="00000000" w:rsidRPr="005C6DC0" w:rsidP="005C6DC0">
      <w:pPr>
        <w:pStyle w:val="ListBullet2"/>
      </w:pPr>
      <w:r w:rsidRPr="005C6DC0">
        <w:t>solar absorptance</w:t>
      </w:r>
    </w:p>
    <w:p w:rsidR="00000000" w:rsidRPr="005C6DC0" w:rsidP="005C6DC0">
      <w:pPr>
        <w:pStyle w:val="ListBullet2"/>
      </w:pPr>
      <w:r w:rsidRPr="005C6DC0">
        <w:t>heat transfer coefficients and U-values</w:t>
      </w:r>
    </w:p>
    <w:p w:rsidR="00000000" w:rsidRPr="005C6DC0" w:rsidP="005C6DC0">
      <w:pPr>
        <w:pStyle w:val="ListBullet2"/>
      </w:pPr>
      <w:r w:rsidRPr="005C6DC0">
        <w:t>material thickness</w:t>
      </w:r>
    </w:p>
    <w:p w:rsidR="00000000" w:rsidRPr="005C6DC0" w:rsidP="005C6DC0">
      <w:pPr>
        <w:pStyle w:val="ListBullet2"/>
      </w:pPr>
      <w:r w:rsidRPr="005C6DC0">
        <w:t>reflectivity</w:t>
      </w:r>
    </w:p>
    <w:p w:rsidR="00000000" w:rsidRPr="005C6DC0" w:rsidP="005C6DC0">
      <w:pPr>
        <w:pStyle w:val="ListBullet2"/>
      </w:pPr>
      <w:r w:rsidRPr="005C6DC0">
        <w:t>resistance heat flow up and down</w:t>
      </w:r>
    </w:p>
    <w:p w:rsidR="00000000" w:rsidRPr="005C6DC0" w:rsidP="005C6DC0">
      <w:pPr>
        <w:pStyle w:val="ListBullet2"/>
      </w:pPr>
      <w:r w:rsidRPr="005C6DC0">
        <w:t>solar heat gain coefficient and emissivity</w:t>
      </w:r>
    </w:p>
    <w:p w:rsidR="00000000" w:rsidRPr="005C6DC0" w:rsidP="005C6DC0">
      <w:pPr>
        <w:pStyle w:val="ListBullet2"/>
      </w:pPr>
      <w:r w:rsidRPr="005C6DC0">
        <w:t>thermal bridging and breaks</w:t>
      </w:r>
    </w:p>
    <w:p w:rsidR="00000000" w:rsidRPr="005C6DC0" w:rsidP="005C6DC0">
      <w:pPr>
        <w:pStyle w:val="ListBullet2"/>
      </w:pPr>
      <w:r w:rsidRPr="005C6DC0">
        <w:t>thermal resistance and R-values</w:t>
      </w:r>
    </w:p>
    <w:p w:rsidR="00000000" w:rsidRPr="005C6DC0" w:rsidP="005C6DC0">
      <w:pPr>
        <w:pStyle w:val="ListBullet"/>
      </w:pPr>
      <w:r w:rsidRPr="005C6DC0">
        <w:t>thermal performance ratings:</w:t>
      </w:r>
    </w:p>
    <w:p w:rsidR="00000000" w:rsidRPr="005C6DC0" w:rsidP="005C6DC0">
      <w:pPr>
        <w:pStyle w:val="ListBullet2"/>
      </w:pPr>
      <w:r w:rsidRPr="005C6DC0">
        <w:t>current rating requirements</w:t>
      </w:r>
    </w:p>
    <w:p w:rsidR="00000000" w:rsidRPr="005C6DC0" w:rsidP="005C6DC0">
      <w:pPr>
        <w:pStyle w:val="ListBullet2"/>
      </w:pPr>
      <w:r w:rsidRPr="005C6DC0">
        <w:t>documentation of ratings</w:t>
      </w:r>
    </w:p>
    <w:p w:rsidR="00000000" w:rsidRPr="005C6DC0" w:rsidP="005C6DC0">
      <w:pPr>
        <w:pStyle w:val="ListBullet2"/>
      </w:pPr>
      <w:r w:rsidRPr="005C6DC0">
        <w:t>legal requirements</w:t>
      </w:r>
    </w:p>
    <w:p w:rsidR="00000000" w:rsidRPr="005C6DC0" w:rsidP="005C6DC0">
      <w:pPr>
        <w:pStyle w:val="ListBullet2"/>
      </w:pPr>
      <w:r w:rsidRPr="005C6DC0">
        <w:t>uses</w:t>
      </w:r>
    </w:p>
    <w:p w:rsidR="00000000" w:rsidRPr="005C6DC0" w:rsidP="005C6DC0">
      <w:pPr>
        <w:pStyle w:val="ListBullet"/>
      </w:pPr>
      <w:r w:rsidRPr="005C6DC0">
        <w:t>types and operation of NatHERS accredited software tools:</w:t>
      </w:r>
    </w:p>
    <w:p w:rsidR="00000000" w:rsidRPr="005C6DC0" w:rsidP="005C6DC0">
      <w:pPr>
        <w:pStyle w:val="ListBullet2"/>
      </w:pPr>
      <w:r w:rsidRPr="005C6DC0">
        <w:t>assumptions and limitations as to what can be assessed inherent in NatHERS software protocols and accredited software</w:t>
      </w:r>
    </w:p>
    <w:p w:rsidR="00000000" w:rsidRPr="005C6DC0" w:rsidP="005C6DC0">
      <w:pPr>
        <w:pStyle w:val="ListBullet2"/>
      </w:pPr>
      <w:r w:rsidRPr="005C6DC0">
        <w:t>building and external elements included in NatHERS thermal performance assessme</w:t>
      </w:r>
      <w:r w:rsidRPr="005C6DC0">
        <w:t>nts</w:t>
      </w:r>
    </w:p>
    <w:p w:rsidR="00000000" w:rsidRPr="005C6DC0" w:rsidP="005C6DC0">
      <w:pPr>
        <w:pStyle w:val="ListBullet2"/>
      </w:pPr>
      <w:r w:rsidRPr="005C6DC0">
        <w:t>requirements for modelling complex buildings and non-standard materials.</w:t>
      </w:r>
    </w:p>
    <w:p w:rsidR="00000000" w:rsidRPr="005C6DC0" w:rsidP="005C6DC0">
      <w:pPr>
        <w:pStyle w:val="AllowPageBreak"/>
      </w:pPr>
    </w:p>
    <w:p w:rsidR="00000000" w:rsidRPr="005C6DC0" w:rsidP="005C6DC0">
      <w:pPr>
        <w:pStyle w:val="Heading1"/>
      </w:pPr>
      <w:bookmarkStart w:id="4" w:name="O_1186495"/>
      <w:bookmarkEnd w:id="4"/>
      <w:r w:rsidRPr="005C6DC0">
        <w:t>Assessment Conditions</w:t>
      </w:r>
    </w:p>
    <w:p w:rsidR="00000000" w:rsidRPr="005C6DC0" w:rsidP="00DD0395">
      <w:pPr>
        <w:pStyle w:val="BodyText"/>
      </w:pPr>
      <w:r w:rsidRPr="005C6DC0">
        <w:t>Assessors must meet the requirements for assessors contained in the Standards for Registered Training Organisations.</w:t>
      </w:r>
    </w:p>
    <w:p w:rsidR="00000000" w:rsidRPr="005C6DC0" w:rsidP="00DD0395">
      <w:pPr>
        <w:pStyle w:val="BodyText"/>
      </w:pPr>
      <w:r w:rsidRPr="005C6DC0">
        <w:t>This unit must be ass</w:t>
      </w:r>
      <w:r w:rsidRPr="005C6DC0">
        <w:t xml:space="preserve">essed in the workplace or a close simulation using realistic workplace conditions, materials, activities, responsibilities, procedures, safety requirements and environmental considerations. </w:t>
      </w:r>
    </w:p>
    <w:p w:rsidR="00000000" w:rsidRPr="005C6DC0" w:rsidP="00DD0395">
      <w:pPr>
        <w:pStyle w:val="BodyText"/>
      </w:pPr>
      <w:r w:rsidRPr="005C6DC0">
        <w:t>Candidates must have access to:</w:t>
      </w:r>
    </w:p>
    <w:p w:rsidR="00000000" w:rsidRPr="005C6DC0" w:rsidP="005C6DC0">
      <w:pPr>
        <w:pStyle w:val="ListBullet"/>
      </w:pPr>
      <w:r w:rsidRPr="005C6DC0">
        <w:t>current accredited NatHERS softw</w:t>
      </w:r>
      <w:r w:rsidRPr="005C6DC0">
        <w:t>are tool and associated equipment and manuals</w:t>
      </w:r>
    </w:p>
    <w:p w:rsidR="00000000" w:rsidRPr="005C6DC0" w:rsidP="005C6DC0">
      <w:pPr>
        <w:pStyle w:val="ListBullet"/>
      </w:pPr>
      <w:r w:rsidRPr="005C6DC0">
        <w:t>the NCC and jurisdictional guidelines associated with conducting NatHERS assessments</w:t>
      </w:r>
    </w:p>
    <w:p w:rsidR="00000000" w:rsidRPr="005C6DC0" w:rsidP="005C6DC0">
      <w:pPr>
        <w:pStyle w:val="ListBullet"/>
      </w:pPr>
      <w:r w:rsidRPr="005C6DC0">
        <w:t>residential building design documentation and technical information to allow achievement of the performance evidence</w:t>
      </w:r>
    </w:p>
    <w:p w:rsidR="00000000" w:rsidRPr="005C6DC0" w:rsidP="005C6DC0">
      <w:pPr>
        <w:pStyle w:val="ListBullet"/>
      </w:pPr>
      <w:r w:rsidRPr="005C6DC0">
        <w:t>NatHERS technical notes and software accreditation protocol.</w:t>
      </w:r>
    </w:p>
    <w:p w:rsidR="00000000" w:rsidRPr="005C6DC0" w:rsidP="005C6DC0">
      <w:pPr>
        <w:pStyle w:val="AllowPageBreak"/>
      </w:pPr>
    </w:p>
    <w:p w:rsidR="00000000" w:rsidRPr="005C6DC0" w:rsidP="005C6DC0">
      <w:pPr>
        <w:pStyle w:val="Heading1"/>
      </w:pPr>
      <w:bookmarkStart w:id="5" w:name="O_1186508"/>
      <w:bookmarkEnd w:id="5"/>
      <w:r w:rsidRPr="005C6DC0">
        <w:t>Links</w:t>
      </w:r>
    </w:p>
    <w:p w:rsidR="00000000" w:rsidRPr="005C6DC0" w:rsidP="00DD0395">
      <w:pPr>
        <w:pStyle w:val="BodyText"/>
      </w:pPr>
      <w:r w:rsidRPr="005C6DC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9421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C6DC0" w:rsidP="005C6DC0"/>
    <w:sectPr w:rsidSect="005C6D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C0" w:rsidRPr="00DD0395" w:rsidP="00DD03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95" w:rsidP="005C6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395" w:rsidP="005C6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D0395" w:rsidP="005C6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DC0" w:rsidRPr="00DD0395" w:rsidP="00DD03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95" w:rsidRPr="002D2AF8" w:rsidP="005C6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CPPHES5001 Conduct thermal performance assessment of complex residential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D0395" w:rsidP="005C6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F67F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D63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52E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DC0"/>
  </w:style>
  <w:style w:type="character" w:customStyle="1" w:styleId="Heading1Char">
    <w:name w:val="Heading 1 Char"/>
    <w:basedOn w:val="DefaultParagraphFont"/>
    <w:link w:val="Heading1"/>
    <w:rsid w:val="005C6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D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D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6D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6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6DC0"/>
    <w:rPr>
      <w:b/>
      <w:spacing w:val="0"/>
    </w:rPr>
  </w:style>
  <w:style w:type="paragraph" w:customStyle="1" w:styleId="SuperTitle">
    <w:name w:val="SuperTitle"/>
    <w:basedOn w:val="Title"/>
    <w:rsid w:val="005C6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6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D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DC0"/>
    <w:rPr>
      <w:i/>
    </w:rPr>
  </w:style>
  <w:style w:type="paragraph" w:styleId="Caption">
    <w:name w:val="caption"/>
    <w:basedOn w:val="BodyText"/>
    <w:next w:val="Normal"/>
    <w:qFormat/>
    <w:rsid w:val="005C6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DC0"/>
  </w:style>
  <w:style w:type="paragraph" w:styleId="TableofFigures">
    <w:name w:val="table of figures"/>
    <w:basedOn w:val="Normal"/>
    <w:next w:val="Normal"/>
    <w:semiHidden/>
    <w:rsid w:val="005C6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D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6DC0"/>
    <w:rPr>
      <w:rFonts w:ascii="Wingdings" w:hAnsi="Wingdings"/>
    </w:rPr>
  </w:style>
  <w:style w:type="paragraph" w:customStyle="1" w:styleId="TableHeading">
    <w:name w:val="Table Heading"/>
    <w:basedOn w:val="HeadingBase"/>
    <w:rsid w:val="005C6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DC0"/>
    <w:rPr>
      <w:color w:val="0033CC"/>
      <w:u w:val="none"/>
    </w:rPr>
  </w:style>
  <w:style w:type="paragraph" w:customStyle="1" w:styleId="BodyTextRight">
    <w:name w:val="Body Text Right"/>
    <w:basedOn w:val="BodyText"/>
    <w:rsid w:val="005C6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D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DC0"/>
    <w:rPr>
      <w:sz w:val="32"/>
    </w:rPr>
  </w:style>
  <w:style w:type="paragraph" w:customStyle="1" w:styleId="HeadingProcedure">
    <w:name w:val="Heading Procedure"/>
    <w:basedOn w:val="HeadingBase"/>
    <w:next w:val="Normal"/>
    <w:rsid w:val="005C6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DC0"/>
    <w:pPr>
      <w:spacing w:before="60" w:after="60"/>
    </w:pPr>
  </w:style>
  <w:style w:type="paragraph" w:styleId="ListContinue">
    <w:name w:val="List Continue"/>
    <w:basedOn w:val="List"/>
    <w:rsid w:val="005C6DC0"/>
    <w:pPr>
      <w:ind w:firstLine="0"/>
    </w:pPr>
  </w:style>
  <w:style w:type="paragraph" w:customStyle="1" w:styleId="ListNote">
    <w:name w:val="List Note"/>
    <w:basedOn w:val="List"/>
    <w:rsid w:val="005C6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DC0"/>
    <w:rPr>
      <w:rFonts w:ascii="Courier New" w:hAnsi="Courier New"/>
    </w:rPr>
  </w:style>
  <w:style w:type="paragraph" w:customStyle="1" w:styleId="NoteBullet">
    <w:name w:val="Note Bullet"/>
    <w:basedOn w:val="Note"/>
    <w:rsid w:val="005C6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D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6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DC0"/>
    <w:rPr>
      <w:b/>
      <w:smallCaps/>
    </w:rPr>
  </w:style>
  <w:style w:type="paragraph" w:customStyle="1" w:styleId="TableListNumber">
    <w:name w:val="Table List Number"/>
    <w:basedOn w:val="ListNumber"/>
    <w:rsid w:val="005C6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DC0"/>
    <w:pPr>
      <w:numPr>
        <w:numId w:val="9"/>
      </w:numPr>
    </w:pPr>
  </w:style>
  <w:style w:type="paragraph" w:customStyle="1" w:styleId="ListAlpha2">
    <w:name w:val="List Alpha 2"/>
    <w:basedOn w:val="List2"/>
    <w:rsid w:val="005C6DC0"/>
    <w:pPr>
      <w:numPr>
        <w:numId w:val="8"/>
      </w:numPr>
    </w:pPr>
  </w:style>
  <w:style w:type="paragraph" w:styleId="List2">
    <w:name w:val="List 2"/>
    <w:basedOn w:val="BodyText"/>
    <w:rsid w:val="005C6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D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D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6DC0"/>
    <w:pPr>
      <w:numPr>
        <w:numId w:val="4"/>
      </w:numPr>
    </w:pPr>
  </w:style>
  <w:style w:type="paragraph" w:styleId="ListContinue2">
    <w:name w:val="List Continue 2"/>
    <w:basedOn w:val="List2"/>
    <w:rsid w:val="005C6DC0"/>
    <w:pPr>
      <w:ind w:firstLine="0"/>
    </w:pPr>
  </w:style>
  <w:style w:type="paragraph" w:styleId="ListContinue3">
    <w:name w:val="List Continue 3"/>
    <w:basedOn w:val="List3"/>
    <w:rsid w:val="005C6DC0"/>
    <w:pPr>
      <w:ind w:left="1021" w:firstLine="0"/>
    </w:pPr>
  </w:style>
  <w:style w:type="paragraph" w:styleId="ListContinue4">
    <w:name w:val="List Continue 4"/>
    <w:basedOn w:val="List4"/>
    <w:rsid w:val="005C6DC0"/>
    <w:pPr>
      <w:ind w:firstLine="0"/>
    </w:pPr>
  </w:style>
  <w:style w:type="paragraph" w:styleId="ListContinue5">
    <w:name w:val="List Continue 5"/>
    <w:basedOn w:val="List5"/>
    <w:rsid w:val="005C6DC0"/>
    <w:pPr>
      <w:ind w:firstLine="0"/>
    </w:pPr>
  </w:style>
  <w:style w:type="paragraph" w:styleId="ListNumber3">
    <w:name w:val="List Number 3"/>
    <w:basedOn w:val="List3"/>
    <w:rsid w:val="005C6DC0"/>
    <w:pPr>
      <w:numPr>
        <w:numId w:val="5"/>
      </w:numPr>
    </w:pPr>
  </w:style>
  <w:style w:type="paragraph" w:styleId="ListNumber4">
    <w:name w:val="List Number 4"/>
    <w:basedOn w:val="List4"/>
    <w:rsid w:val="005C6DC0"/>
    <w:pPr>
      <w:numPr>
        <w:numId w:val="6"/>
      </w:numPr>
    </w:pPr>
  </w:style>
  <w:style w:type="paragraph" w:styleId="ListNumber5">
    <w:name w:val="List Number 5"/>
    <w:basedOn w:val="List5"/>
    <w:rsid w:val="005C6DC0"/>
    <w:pPr>
      <w:numPr>
        <w:numId w:val="7"/>
      </w:numPr>
    </w:pPr>
  </w:style>
  <w:style w:type="paragraph" w:styleId="BlockText">
    <w:name w:val="Block Text"/>
    <w:basedOn w:val="Normal"/>
    <w:rsid w:val="005C6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DC0"/>
    <w:rPr>
      <w:sz w:val="16"/>
      <w:vertAlign w:val="superscript"/>
    </w:rPr>
  </w:style>
  <w:style w:type="character" w:customStyle="1" w:styleId="Symbols">
    <w:name w:val="Symbols"/>
    <w:basedOn w:val="DefaultParagraphFont"/>
    <w:rsid w:val="005C6DC0"/>
    <w:rPr>
      <w:rFonts w:ascii="Symbol" w:hAnsi="Symbol"/>
    </w:rPr>
  </w:style>
  <w:style w:type="character" w:customStyle="1" w:styleId="MenuOptions">
    <w:name w:val="Menu Options"/>
    <w:basedOn w:val="DefaultParagraphFont"/>
    <w:rsid w:val="005C6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DC0"/>
    <w:rPr>
      <w:b/>
    </w:rPr>
  </w:style>
  <w:style w:type="character" w:customStyle="1" w:styleId="Underlined">
    <w:name w:val="Underlined"/>
    <w:basedOn w:val="DefaultParagraphFont"/>
    <w:rsid w:val="005C6DC0"/>
    <w:rPr>
      <w:u w:val="single"/>
    </w:rPr>
  </w:style>
  <w:style w:type="paragraph" w:customStyle="1" w:styleId="TableBodyTextRight">
    <w:name w:val="Table Body Text Right"/>
    <w:basedOn w:val="TableBodyText"/>
    <w:rsid w:val="005C6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DC0"/>
    <w:rPr>
      <w:sz w:val="18"/>
    </w:rPr>
  </w:style>
  <w:style w:type="paragraph" w:customStyle="1" w:styleId="BodySmallRight">
    <w:name w:val="Body Small Right"/>
    <w:basedOn w:val="BodyTextRight"/>
    <w:rsid w:val="005C6DC0"/>
    <w:rPr>
      <w:sz w:val="18"/>
      <w:szCs w:val="18"/>
    </w:rPr>
  </w:style>
  <w:style w:type="paragraph" w:customStyle="1" w:styleId="MarginEdition">
    <w:name w:val="Margin Edition"/>
    <w:basedOn w:val="MarginNote"/>
    <w:rsid w:val="005C6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DC0"/>
    <w:rPr>
      <w:sz w:val="2"/>
      <w:szCs w:val="2"/>
    </w:rPr>
  </w:style>
  <w:style w:type="character" w:customStyle="1" w:styleId="Small">
    <w:name w:val="Small"/>
    <w:basedOn w:val="DefaultParagraphFont"/>
    <w:rsid w:val="005C6DC0"/>
    <w:rPr>
      <w:sz w:val="16"/>
    </w:rPr>
  </w:style>
  <w:style w:type="paragraph" w:customStyle="1" w:styleId="WideTable">
    <w:name w:val="Wide Table"/>
    <w:basedOn w:val="Normal"/>
    <w:rsid w:val="005C6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DC0"/>
  </w:style>
  <w:style w:type="paragraph" w:styleId="Quote">
    <w:name w:val="Quote"/>
    <w:basedOn w:val="Heading1"/>
    <w:link w:val="QuoteChar"/>
    <w:qFormat/>
    <w:rsid w:val="005C6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DC0"/>
    <w:pPr>
      <w:pageBreakBefore/>
    </w:pPr>
  </w:style>
  <w:style w:type="paragraph" w:customStyle="1" w:styleId="Border">
    <w:name w:val="Border"/>
    <w:basedOn w:val="Normal"/>
    <w:qFormat/>
    <w:rsid w:val="005C6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DC0"/>
    <w:rPr>
      <w:u w:val="single"/>
    </w:rPr>
  </w:style>
  <w:style w:type="character" w:customStyle="1" w:styleId="BoldandItalics">
    <w:name w:val="Bold and Italics"/>
    <w:qFormat/>
    <w:rsid w:val="005C6DC0"/>
    <w:rPr>
      <w:b/>
      <w:i/>
      <w:u w:val="none"/>
    </w:rPr>
  </w:style>
  <w:style w:type="paragraph" w:styleId="BalloonText">
    <w:name w:val="Balloon Text"/>
    <w:basedOn w:val="Normal"/>
    <w:link w:val="BalloonTextChar"/>
    <w:rsid w:val="005C6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DC0"/>
    <w:pPr>
      <w:spacing w:before="0" w:after="0"/>
    </w:pPr>
  </w:style>
  <w:style w:type="paragraph" w:customStyle="1" w:styleId="BodyTextBold">
    <w:name w:val="Body Text Bold"/>
    <w:basedOn w:val="BodyText"/>
    <w:qFormat/>
    <w:rsid w:val="005C6DC0"/>
    <w:rPr>
      <w:b/>
    </w:rPr>
  </w:style>
  <w:style w:type="character" w:styleId="Hyperlink">
    <w:name w:val="Hyperlink"/>
    <w:basedOn w:val="DefaultParagraphFont"/>
    <w:uiPriority w:val="99"/>
    <w:unhideWhenUsed/>
    <w:rsid w:val="00DD03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4285</Characters>
  <Application>Microsoft Office Word</Application>
  <DocSecurity>0</DocSecurity>
  <Lines>122</Lines>
  <Paragraphs>102</Paragraphs>
  <ScaleCrop>false</ScaleCrop>
  <Company>Author-it Software Corporation Ltd.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CPPHES5001 Conduct thermal performance assessment of complex residential buildings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2022-12-19T06:26:00Z</dcterms:created>
  <dcterms:modified xsi:type="dcterms:W3CDTF">2022-12-19T06:26:00Z</dcterms:modified>
</cp:coreProperties>
</file>