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DE2" w:rsidP="00485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CPPHES4007 Assess thermal performance of existing residential buildings</w:t>
      </w:r>
      <w:r>
        <w:fldChar w:fldCharType="end"/>
      </w:r>
    </w:p>
    <w:p w:rsidR="00485DE2" w:rsidP="00485DE2">
      <w:pPr>
        <w:pStyle w:val="Version"/>
        <w:sectPr w:rsidSect="009105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10561" w:rsidP="00910561">
      <w:pPr>
        <w:pStyle w:val="SuperHeading"/>
      </w:pPr>
      <w:r w:rsidRPr="00910561">
        <w:t>Assessment Requirements for CPPHES4007 Assess thermal performance of existing residential buildings</w:t>
      </w:r>
    </w:p>
    <w:p w:rsidR="00000000" w:rsidRPr="00910561" w:rsidP="00910561">
      <w:pPr>
        <w:pStyle w:val="Heading1"/>
      </w:pPr>
      <w:bookmarkStart w:id="1" w:name="O_1186450"/>
      <w:bookmarkEnd w:id="1"/>
      <w:r w:rsidRPr="009105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10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561">
            <w:pPr>
              <w:pStyle w:val="BodyText"/>
              <w:rPr>
                <w:lang w:val="en-NZ"/>
              </w:rPr>
            </w:pPr>
            <w:r w:rsidRPr="0091056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561" w:rsidP="00910561">
            <w:pPr>
              <w:pStyle w:val="BodyText"/>
            </w:pPr>
            <w:r w:rsidRPr="00910561">
              <w:t>This version first released with CPP Property Services Training Package Release 14.0.</w:t>
            </w:r>
          </w:p>
          <w:p w:rsidR="00000000" w:rsidP="00910561">
            <w:pPr>
              <w:pStyle w:val="BodyText"/>
              <w:rPr>
                <w:lang w:val="en-NZ"/>
              </w:rPr>
            </w:pPr>
            <w:r w:rsidRPr="00910561">
              <w:t>Updated reference to reflect correction in Modification History from CPC Property Services 5.0 to CPP Property Services 9.0.</w:t>
            </w:r>
          </w:p>
        </w:tc>
      </w:tr>
      <w:tr w:rsidTr="00910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561">
            <w:pPr>
              <w:pStyle w:val="BodyText"/>
              <w:rPr>
                <w:lang w:val="en-NZ"/>
              </w:rPr>
            </w:pPr>
            <w:r w:rsidRPr="0091056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561" w:rsidP="00910561">
            <w:pPr>
              <w:pStyle w:val="BodyText"/>
            </w:pPr>
            <w:r w:rsidRPr="00910561">
              <w:t>This version first released with CPC Property Services Training Package Release 5.0.</w:t>
            </w:r>
          </w:p>
          <w:p w:rsidR="00000000" w:rsidRPr="00910561" w:rsidP="00910561">
            <w:pPr>
              <w:pStyle w:val="BodyText"/>
            </w:pPr>
            <w:r w:rsidRPr="00910561">
              <w:t>Supersedes and equivalent to CPPHSA</w:t>
            </w:r>
            <w:r w:rsidRPr="00910561">
              <w:t>4004A Assess thermal performance of existing residences using non-rating tools and techniques.  Updated to meet the Standards for Training Packages.</w:t>
            </w:r>
          </w:p>
        </w:tc>
      </w:tr>
    </w:tbl>
    <w:p w:rsidR="00000000" w:rsidRPr="00910561" w:rsidP="00910561">
      <w:pPr>
        <w:pStyle w:val="BodyText"/>
      </w:pPr>
    </w:p>
    <w:p w:rsidR="00000000" w:rsidRPr="00910561" w:rsidP="00910561">
      <w:pPr>
        <w:pStyle w:val="AllowPageBreak"/>
      </w:pPr>
    </w:p>
    <w:p w:rsidR="00000000" w:rsidRPr="00910561" w:rsidP="00910561">
      <w:pPr>
        <w:pStyle w:val="Heading1"/>
      </w:pPr>
      <w:bookmarkStart w:id="2" w:name="O_1186449"/>
      <w:bookmarkEnd w:id="2"/>
      <w:r w:rsidRPr="00910561">
        <w:t>Performance Evidence</w:t>
      </w:r>
    </w:p>
    <w:p w:rsidR="00000000" w:rsidRPr="00910561" w:rsidP="00485DE2">
      <w:pPr>
        <w:pStyle w:val="BodyText"/>
      </w:pPr>
      <w:r w:rsidRPr="00910561">
        <w:t xml:space="preserve">To demonstrate competency, a candidate must meet the performance </w:t>
      </w:r>
      <w:r w:rsidRPr="00910561">
        <w:t>criteria of this unit by conducting thermal performance assessments and identifying thermal performance improvements for a minimum of two different existing residential buildings.</w:t>
      </w:r>
    </w:p>
    <w:p w:rsidR="00000000" w:rsidRPr="00910561" w:rsidP="00910561">
      <w:pPr>
        <w:pStyle w:val="Heading1"/>
      </w:pPr>
      <w:bookmarkStart w:id="3" w:name="O_1186448"/>
      <w:bookmarkEnd w:id="3"/>
      <w:r w:rsidRPr="00910561">
        <w:t>Knowledge Evidence</w:t>
      </w:r>
    </w:p>
    <w:p w:rsidR="00000000" w:rsidRPr="00910561" w:rsidP="00485DE2">
      <w:pPr>
        <w:pStyle w:val="BodyText"/>
      </w:pPr>
      <w:r w:rsidRPr="00910561">
        <w:t>To be competent in this unit, a candid</w:t>
      </w:r>
      <w:r w:rsidRPr="00910561">
        <w:t>ate must demonstrate knowledge of:</w:t>
      </w:r>
    </w:p>
    <w:p w:rsidR="00000000" w:rsidRPr="00910561" w:rsidP="00910561">
      <w:pPr>
        <w:pStyle w:val="ListBullet"/>
      </w:pPr>
      <w:r w:rsidRPr="00910561">
        <w:t>Australian climate zones, characteristics and data used in thermal performance assessments:</w:t>
      </w:r>
    </w:p>
    <w:p w:rsidR="00000000" w:rsidRPr="00910561" w:rsidP="00910561">
      <w:pPr>
        <w:pStyle w:val="ListBullet2"/>
      </w:pPr>
      <w:r w:rsidRPr="00910561">
        <w:t>diurnal temperature range</w:t>
      </w:r>
    </w:p>
    <w:p w:rsidR="00000000" w:rsidRPr="00910561" w:rsidP="00910561">
      <w:pPr>
        <w:pStyle w:val="ListBullet2"/>
      </w:pPr>
      <w:r w:rsidRPr="00910561">
        <w:t>humidity</w:t>
      </w:r>
    </w:p>
    <w:p w:rsidR="00000000" w:rsidRPr="00910561" w:rsidP="00910561">
      <w:pPr>
        <w:pStyle w:val="ListBullet2"/>
      </w:pPr>
      <w:r w:rsidRPr="00910561">
        <w:t>irradiance</w:t>
      </w:r>
    </w:p>
    <w:p w:rsidR="00000000" w:rsidRPr="00910561" w:rsidP="00910561">
      <w:pPr>
        <w:pStyle w:val="ListBullet2"/>
      </w:pPr>
      <w:r w:rsidRPr="00910561">
        <w:t>minimum and maximum temperature</w:t>
      </w:r>
    </w:p>
    <w:p w:rsidR="00000000" w:rsidRPr="00910561" w:rsidP="00910561">
      <w:pPr>
        <w:pStyle w:val="ListBullet2"/>
      </w:pPr>
      <w:r w:rsidRPr="00910561">
        <w:t>solar geometry</w:t>
      </w:r>
    </w:p>
    <w:p w:rsidR="00000000" w:rsidRPr="00910561" w:rsidP="00910561">
      <w:pPr>
        <w:pStyle w:val="ListBullet2"/>
      </w:pPr>
      <w:r w:rsidRPr="00910561">
        <w:t>wind speed and direction</w:t>
      </w:r>
    </w:p>
    <w:p w:rsidR="00000000" w:rsidRPr="00910561" w:rsidP="00910561">
      <w:pPr>
        <w:pStyle w:val="ListBullet"/>
      </w:pPr>
      <w:r w:rsidRPr="00910561">
        <w:t>building thermal performance principles:</w:t>
      </w:r>
    </w:p>
    <w:p w:rsidR="00000000" w:rsidRPr="00910561" w:rsidP="00910561">
      <w:pPr>
        <w:pStyle w:val="ListBullet2"/>
      </w:pPr>
      <w:r w:rsidRPr="00910561">
        <w:t>glazing, shading and insulation for controlling temperature</w:t>
      </w:r>
    </w:p>
    <w:p w:rsidR="00000000" w:rsidRPr="00910561" w:rsidP="00910561">
      <w:pPr>
        <w:pStyle w:val="ListBullet2"/>
      </w:pPr>
      <w:r w:rsidRPr="00910561">
        <w:t xml:space="preserve">orientation impacts </w:t>
      </w:r>
    </w:p>
    <w:p w:rsidR="00000000" w:rsidRPr="00910561" w:rsidP="00910561">
      <w:pPr>
        <w:pStyle w:val="ListBullet2"/>
      </w:pPr>
      <w:r w:rsidRPr="00910561">
        <w:t>thermal mass for storing</w:t>
      </w:r>
    </w:p>
    <w:p w:rsidR="00000000" w:rsidRPr="00910561" w:rsidP="00910561">
      <w:pPr>
        <w:pStyle w:val="ListBullet2"/>
      </w:pPr>
      <w:r w:rsidRPr="00910561">
        <w:t xml:space="preserve">ventilation </w:t>
      </w:r>
    </w:p>
    <w:p w:rsidR="00000000" w:rsidRPr="00910561" w:rsidP="00910561">
      <w:pPr>
        <w:pStyle w:val="ListBullet"/>
      </w:pPr>
      <w:r w:rsidRPr="00910561">
        <w:t>definition of thermal comfort and its role in thermal performance assessments</w:t>
      </w:r>
    </w:p>
    <w:p w:rsidR="00000000" w:rsidRPr="00910561" w:rsidP="00910561">
      <w:pPr>
        <w:pStyle w:val="ListBullet"/>
      </w:pPr>
      <w:r w:rsidRPr="00910561">
        <w:t>hazards and risk</w:t>
      </w:r>
      <w:r w:rsidRPr="00910561">
        <w:t>s and types of personal protective equipment (PPE) to be used when conducting on-site thermal performance assessments</w:t>
      </w:r>
    </w:p>
    <w:p w:rsidR="00000000" w:rsidRPr="00910561" w:rsidP="00910561">
      <w:pPr>
        <w:pStyle w:val="ListBullet"/>
      </w:pPr>
      <w:r w:rsidRPr="00910561">
        <w:t>impact of building design and materials on thermal performance:</w:t>
      </w:r>
    </w:p>
    <w:p w:rsidR="00000000" w:rsidRPr="00910561" w:rsidP="00910561">
      <w:pPr>
        <w:pStyle w:val="ListBullet2"/>
      </w:pPr>
      <w:r w:rsidRPr="00910561">
        <w:t xml:space="preserve">condensation </w:t>
      </w:r>
    </w:p>
    <w:p w:rsidR="00000000" w:rsidRPr="00910561" w:rsidP="00910561">
      <w:pPr>
        <w:pStyle w:val="ListBullet2"/>
      </w:pPr>
      <w:r w:rsidRPr="00910561">
        <w:t>constraints on choice of building materials</w:t>
      </w:r>
    </w:p>
    <w:p w:rsidR="00000000" w:rsidRPr="00910561" w:rsidP="00910561">
      <w:pPr>
        <w:pStyle w:val="ListBullet2"/>
      </w:pPr>
      <w:r w:rsidRPr="00910561">
        <w:t>embodied energy and lifecycle properties of building materials</w:t>
      </w:r>
    </w:p>
    <w:p w:rsidR="00000000" w:rsidRPr="00910561" w:rsidP="00910561">
      <w:pPr>
        <w:pStyle w:val="ListBullet2"/>
      </w:pPr>
      <w:r w:rsidRPr="00910561">
        <w:t>thermal performance properties of common building materials</w:t>
      </w:r>
    </w:p>
    <w:p w:rsidR="00000000" w:rsidRPr="00910561" w:rsidP="00910561">
      <w:pPr>
        <w:pStyle w:val="ListBullet"/>
      </w:pPr>
      <w:r w:rsidRPr="00910561">
        <w:t>key requirements of codes, standards, regulations and government incentive programs associated with improving the thermal performanc</w:t>
      </w:r>
      <w:r w:rsidRPr="00910561">
        <w:t>e of existing residences</w:t>
      </w:r>
    </w:p>
    <w:p w:rsidR="00000000" w:rsidRPr="00910561" w:rsidP="00910561">
      <w:pPr>
        <w:pStyle w:val="ListBullet"/>
      </w:pPr>
      <w:r w:rsidRPr="00910561">
        <w:t>options for improving thermal performance of existing residences</w:t>
      </w:r>
    </w:p>
    <w:p w:rsidR="00000000" w:rsidRPr="00910561" w:rsidP="00910561">
      <w:pPr>
        <w:pStyle w:val="ListBullet"/>
      </w:pPr>
      <w:r w:rsidRPr="00910561">
        <w:t>passive energy design principles</w:t>
      </w:r>
    </w:p>
    <w:p w:rsidR="00000000" w:rsidRPr="00910561" w:rsidP="00910561">
      <w:pPr>
        <w:pStyle w:val="ListBullet"/>
      </w:pPr>
      <w:r w:rsidRPr="00910561">
        <w:t>physical factors that influence thermal comfort</w:t>
      </w:r>
    </w:p>
    <w:p w:rsidR="00000000" w:rsidRPr="00910561" w:rsidP="00910561">
      <w:pPr>
        <w:pStyle w:val="ListBullet"/>
      </w:pPr>
      <w:r w:rsidRPr="00910561">
        <w:t>relationship between building design, energy consumption and greenhouse gas emissions</w:t>
      </w:r>
    </w:p>
    <w:p w:rsidR="00000000" w:rsidRPr="00910561" w:rsidP="00910561">
      <w:pPr>
        <w:pStyle w:val="ListBullet"/>
      </w:pPr>
      <w:r w:rsidRPr="00910561">
        <w:t>relationship between building thermal performance and thermal comfort</w:t>
      </w:r>
    </w:p>
    <w:p w:rsidR="00000000" w:rsidRPr="00910561" w:rsidP="00910561">
      <w:pPr>
        <w:pStyle w:val="ListBullet"/>
      </w:pPr>
      <w:r w:rsidRPr="00910561">
        <w:t>requirements, documentation and uses of thermal performance ratings</w:t>
      </w:r>
    </w:p>
    <w:p w:rsidR="00000000" w:rsidRPr="00910561" w:rsidP="00910561">
      <w:pPr>
        <w:pStyle w:val="ListBullet"/>
      </w:pPr>
      <w:r w:rsidRPr="00910561">
        <w:t>safe work requirements for on-site thermal performance assessments</w:t>
      </w:r>
    </w:p>
    <w:p w:rsidR="00000000" w:rsidRPr="00910561" w:rsidP="00910561">
      <w:pPr>
        <w:pStyle w:val="ListBullet"/>
      </w:pPr>
      <w:r w:rsidRPr="00910561">
        <w:t>types, advantages and disadvantages of non-rating tools and techniques used to assess thermal performance of residential buildings</w:t>
      </w:r>
    </w:p>
    <w:p w:rsidR="00000000" w:rsidRPr="00910561" w:rsidP="00910561">
      <w:pPr>
        <w:pStyle w:val="ListBullet"/>
      </w:pPr>
      <w:r w:rsidRPr="00910561">
        <w:t>units of measurement for energy and power associated with thermal performance assessments.</w:t>
      </w:r>
    </w:p>
    <w:p w:rsidR="00000000" w:rsidRPr="00910561" w:rsidP="00910561">
      <w:pPr>
        <w:pStyle w:val="AllowPageBreak"/>
      </w:pPr>
    </w:p>
    <w:p w:rsidR="00000000" w:rsidRPr="00910561" w:rsidP="00910561">
      <w:pPr>
        <w:pStyle w:val="Heading1"/>
      </w:pPr>
      <w:bookmarkStart w:id="4" w:name="O_1186447"/>
      <w:bookmarkEnd w:id="4"/>
      <w:r w:rsidRPr="00910561">
        <w:t>Assessment Cond</w:t>
      </w:r>
      <w:r w:rsidRPr="00910561">
        <w:t>itions</w:t>
      </w:r>
    </w:p>
    <w:p w:rsidR="00000000" w:rsidRPr="00910561" w:rsidP="00485DE2">
      <w:pPr>
        <w:pStyle w:val="BodyText"/>
      </w:pPr>
      <w:r w:rsidRPr="00910561">
        <w:t>Assessors must meet the requirements for assessors contained in the Standards for Registered Training Organisations.</w:t>
      </w:r>
    </w:p>
    <w:p w:rsidR="00000000" w:rsidRPr="00910561" w:rsidP="00485DE2">
      <w:pPr>
        <w:pStyle w:val="BodyText"/>
      </w:pPr>
      <w:r w:rsidRPr="00910561">
        <w:t>This unit must be assessed in the workplace or a close simulation using realistic workplace conditions, materials, activities, respo</w:t>
      </w:r>
      <w:r w:rsidRPr="00910561">
        <w:t xml:space="preserve">nsibilities, procedures, safety requirements and environmental considerations. </w:t>
      </w:r>
    </w:p>
    <w:p w:rsidR="00000000" w:rsidRPr="00910561" w:rsidP="00485DE2">
      <w:pPr>
        <w:pStyle w:val="BodyText"/>
      </w:pPr>
      <w:r w:rsidRPr="00910561">
        <w:t>Candidates must have access to:</w:t>
      </w:r>
    </w:p>
    <w:p w:rsidR="00000000" w:rsidRPr="00910561" w:rsidP="00910561">
      <w:pPr>
        <w:pStyle w:val="ListBullet"/>
      </w:pPr>
      <w:r w:rsidRPr="00910561">
        <w:t>existing residential buildings to allow achievement of the performance evidence</w:t>
      </w:r>
    </w:p>
    <w:p w:rsidR="00000000" w:rsidRPr="00910561" w:rsidP="00910561">
      <w:pPr>
        <w:pStyle w:val="ListBullet"/>
      </w:pPr>
      <w:r w:rsidRPr="00910561">
        <w:t xml:space="preserve">codes, standards, legislation and government programs relevant </w:t>
      </w:r>
      <w:r w:rsidRPr="00910561">
        <w:t>to thermal performance of buildings</w:t>
      </w:r>
    </w:p>
    <w:p w:rsidR="00000000" w:rsidRPr="00910561" w:rsidP="00910561">
      <w:pPr>
        <w:pStyle w:val="ListBullet"/>
      </w:pPr>
      <w:r w:rsidRPr="00910561">
        <w:t>required tools and equipment including PPE</w:t>
      </w:r>
    </w:p>
    <w:p w:rsidR="00000000" w:rsidRPr="00910561" w:rsidP="00910561">
      <w:pPr>
        <w:pStyle w:val="ListBullet"/>
      </w:pPr>
      <w:r w:rsidRPr="00910561">
        <w:t>technical reference library and/or (online) access to current technical publications on:</w:t>
      </w:r>
    </w:p>
    <w:p w:rsidR="00000000" w:rsidRPr="00910561" w:rsidP="00910561">
      <w:pPr>
        <w:pStyle w:val="ListBullet2"/>
      </w:pPr>
      <w:r w:rsidRPr="00910561">
        <w:t>building design and materials</w:t>
      </w:r>
    </w:p>
    <w:p w:rsidR="00000000" w:rsidRPr="00910561" w:rsidP="00910561">
      <w:pPr>
        <w:pStyle w:val="ListBullet2"/>
      </w:pPr>
      <w:r w:rsidRPr="00910561">
        <w:t>house energy rating schemes (HERS)</w:t>
      </w:r>
    </w:p>
    <w:p w:rsidR="00000000" w:rsidRPr="00910561" w:rsidP="00910561">
      <w:pPr>
        <w:pStyle w:val="ListBullet2"/>
      </w:pPr>
      <w:r w:rsidRPr="00910561">
        <w:t>building thermal performance for existing buildings</w:t>
      </w:r>
    </w:p>
    <w:p w:rsidR="00000000" w:rsidRPr="00910561" w:rsidP="00910561">
      <w:pPr>
        <w:pStyle w:val="ListBullet2"/>
      </w:pPr>
      <w:r w:rsidRPr="00910561">
        <w:t>Australian climate zones</w:t>
      </w:r>
    </w:p>
    <w:p w:rsidR="00000000" w:rsidRPr="00910561" w:rsidP="00910561">
      <w:pPr>
        <w:pStyle w:val="ListBullet2"/>
      </w:pPr>
      <w:r w:rsidRPr="00910561">
        <w:t>manufacturers’ product information on building products and materials.</w:t>
      </w:r>
    </w:p>
    <w:p w:rsidR="00000000" w:rsidRPr="00910561" w:rsidP="00910561">
      <w:pPr>
        <w:pStyle w:val="AllowPageBreak"/>
      </w:pPr>
    </w:p>
    <w:p w:rsidR="00000000" w:rsidRPr="00910561" w:rsidP="00910561">
      <w:pPr>
        <w:pStyle w:val="Heading1"/>
      </w:pPr>
      <w:bookmarkStart w:id="5" w:name="O_1186460"/>
      <w:bookmarkEnd w:id="5"/>
      <w:r w:rsidRPr="00910561">
        <w:t>Links</w:t>
      </w:r>
    </w:p>
    <w:p w:rsidR="00000000" w:rsidRPr="00910561" w:rsidP="00485DE2">
      <w:pPr>
        <w:pStyle w:val="BodyText"/>
      </w:pPr>
      <w:r w:rsidRPr="0091056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154E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10561" w:rsidP="00910561"/>
    <w:sectPr w:rsidSect="009105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5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561" w:rsidRPr="00485DE2" w:rsidP="00485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5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E2" w:rsidP="00910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5DE2" w:rsidP="00910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85DE2" w:rsidP="009105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5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0561" w:rsidRPr="00485DE2" w:rsidP="00485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5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E2" w:rsidRPr="002D2AF8" w:rsidP="00910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CPPHES4007 Assess thermal performance of existing residential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85DE2" w:rsidP="009105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90F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70C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0661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5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05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05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05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05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05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05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05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05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05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05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0561"/>
  </w:style>
  <w:style w:type="character" w:customStyle="1" w:styleId="Heading1Char">
    <w:name w:val="Heading 1 Char"/>
    <w:basedOn w:val="DefaultParagraphFont"/>
    <w:link w:val="Heading1"/>
    <w:rsid w:val="009105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05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05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05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05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05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05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05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05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05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0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0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0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0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05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05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05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05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05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05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05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05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05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05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05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05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05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0561"/>
    <w:rPr>
      <w:b/>
      <w:spacing w:val="0"/>
    </w:rPr>
  </w:style>
  <w:style w:type="paragraph" w:customStyle="1" w:styleId="SuperTitle">
    <w:name w:val="SuperTitle"/>
    <w:basedOn w:val="Title"/>
    <w:rsid w:val="009105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05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05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05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05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05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05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05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05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05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05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05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0561"/>
    <w:rPr>
      <w:i/>
    </w:rPr>
  </w:style>
  <w:style w:type="paragraph" w:styleId="Caption">
    <w:name w:val="caption"/>
    <w:basedOn w:val="BodyText"/>
    <w:next w:val="Normal"/>
    <w:qFormat/>
    <w:rsid w:val="009105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05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05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0561"/>
  </w:style>
  <w:style w:type="paragraph" w:styleId="TableofFigures">
    <w:name w:val="table of figures"/>
    <w:basedOn w:val="Normal"/>
    <w:next w:val="Normal"/>
    <w:semiHidden/>
    <w:rsid w:val="009105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05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0561"/>
    <w:rPr>
      <w:rFonts w:ascii="Wingdings" w:hAnsi="Wingdings"/>
    </w:rPr>
  </w:style>
  <w:style w:type="paragraph" w:customStyle="1" w:styleId="TableHeading">
    <w:name w:val="Table Heading"/>
    <w:basedOn w:val="HeadingBase"/>
    <w:rsid w:val="009105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0561"/>
    <w:rPr>
      <w:color w:val="0033CC"/>
      <w:u w:val="none"/>
    </w:rPr>
  </w:style>
  <w:style w:type="paragraph" w:customStyle="1" w:styleId="BodyTextRight">
    <w:name w:val="Body Text Right"/>
    <w:basedOn w:val="BodyText"/>
    <w:rsid w:val="009105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05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05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05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05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05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0561"/>
    <w:rPr>
      <w:sz w:val="32"/>
    </w:rPr>
  </w:style>
  <w:style w:type="paragraph" w:customStyle="1" w:styleId="HeadingProcedure">
    <w:name w:val="Heading Procedure"/>
    <w:basedOn w:val="HeadingBase"/>
    <w:next w:val="Normal"/>
    <w:rsid w:val="009105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0561"/>
    <w:pPr>
      <w:spacing w:before="60" w:after="60"/>
    </w:pPr>
  </w:style>
  <w:style w:type="paragraph" w:styleId="ListContinue">
    <w:name w:val="List Continue"/>
    <w:basedOn w:val="List"/>
    <w:rsid w:val="00910561"/>
    <w:pPr>
      <w:ind w:firstLine="0"/>
    </w:pPr>
  </w:style>
  <w:style w:type="paragraph" w:customStyle="1" w:styleId="ListNote">
    <w:name w:val="List Note"/>
    <w:basedOn w:val="List"/>
    <w:rsid w:val="009105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05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05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0561"/>
    <w:rPr>
      <w:rFonts w:ascii="Courier New" w:hAnsi="Courier New"/>
    </w:rPr>
  </w:style>
  <w:style w:type="paragraph" w:customStyle="1" w:styleId="NoteBullet">
    <w:name w:val="Note Bullet"/>
    <w:basedOn w:val="Note"/>
    <w:rsid w:val="009105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05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05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05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05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05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05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0561"/>
    <w:rPr>
      <w:b/>
      <w:smallCaps/>
    </w:rPr>
  </w:style>
  <w:style w:type="paragraph" w:customStyle="1" w:styleId="TableListNumber">
    <w:name w:val="Table List Number"/>
    <w:basedOn w:val="ListNumber"/>
    <w:rsid w:val="009105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05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0561"/>
    <w:pPr>
      <w:numPr>
        <w:numId w:val="9"/>
      </w:numPr>
    </w:pPr>
  </w:style>
  <w:style w:type="paragraph" w:customStyle="1" w:styleId="ListAlpha2">
    <w:name w:val="List Alpha 2"/>
    <w:basedOn w:val="List2"/>
    <w:rsid w:val="00910561"/>
    <w:pPr>
      <w:numPr>
        <w:numId w:val="8"/>
      </w:numPr>
    </w:pPr>
  </w:style>
  <w:style w:type="paragraph" w:styleId="List2">
    <w:name w:val="List 2"/>
    <w:basedOn w:val="BodyText"/>
    <w:rsid w:val="009105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05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05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05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05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05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0561"/>
    <w:pPr>
      <w:numPr>
        <w:numId w:val="4"/>
      </w:numPr>
    </w:pPr>
  </w:style>
  <w:style w:type="paragraph" w:styleId="ListContinue2">
    <w:name w:val="List Continue 2"/>
    <w:basedOn w:val="List2"/>
    <w:rsid w:val="00910561"/>
    <w:pPr>
      <w:ind w:firstLine="0"/>
    </w:pPr>
  </w:style>
  <w:style w:type="paragraph" w:styleId="ListContinue3">
    <w:name w:val="List Continue 3"/>
    <w:basedOn w:val="List3"/>
    <w:rsid w:val="00910561"/>
    <w:pPr>
      <w:ind w:left="1021" w:firstLine="0"/>
    </w:pPr>
  </w:style>
  <w:style w:type="paragraph" w:styleId="ListContinue4">
    <w:name w:val="List Continue 4"/>
    <w:basedOn w:val="List4"/>
    <w:rsid w:val="00910561"/>
    <w:pPr>
      <w:ind w:firstLine="0"/>
    </w:pPr>
  </w:style>
  <w:style w:type="paragraph" w:styleId="ListContinue5">
    <w:name w:val="List Continue 5"/>
    <w:basedOn w:val="List5"/>
    <w:rsid w:val="00910561"/>
    <w:pPr>
      <w:ind w:firstLine="0"/>
    </w:pPr>
  </w:style>
  <w:style w:type="paragraph" w:styleId="ListNumber3">
    <w:name w:val="List Number 3"/>
    <w:basedOn w:val="List3"/>
    <w:rsid w:val="00910561"/>
    <w:pPr>
      <w:numPr>
        <w:numId w:val="5"/>
      </w:numPr>
    </w:pPr>
  </w:style>
  <w:style w:type="paragraph" w:styleId="ListNumber4">
    <w:name w:val="List Number 4"/>
    <w:basedOn w:val="List4"/>
    <w:rsid w:val="00910561"/>
    <w:pPr>
      <w:numPr>
        <w:numId w:val="6"/>
      </w:numPr>
    </w:pPr>
  </w:style>
  <w:style w:type="paragraph" w:styleId="ListNumber5">
    <w:name w:val="List Number 5"/>
    <w:basedOn w:val="List5"/>
    <w:rsid w:val="00910561"/>
    <w:pPr>
      <w:numPr>
        <w:numId w:val="7"/>
      </w:numPr>
    </w:pPr>
  </w:style>
  <w:style w:type="paragraph" w:styleId="BlockText">
    <w:name w:val="Block Text"/>
    <w:basedOn w:val="Normal"/>
    <w:rsid w:val="009105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05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0561"/>
    <w:rPr>
      <w:sz w:val="16"/>
      <w:vertAlign w:val="superscript"/>
    </w:rPr>
  </w:style>
  <w:style w:type="character" w:customStyle="1" w:styleId="Symbols">
    <w:name w:val="Symbols"/>
    <w:basedOn w:val="DefaultParagraphFont"/>
    <w:rsid w:val="00910561"/>
    <w:rPr>
      <w:rFonts w:ascii="Symbol" w:hAnsi="Symbol"/>
    </w:rPr>
  </w:style>
  <w:style w:type="character" w:customStyle="1" w:styleId="MenuOptions">
    <w:name w:val="Menu Options"/>
    <w:basedOn w:val="DefaultParagraphFont"/>
    <w:rsid w:val="009105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0561"/>
    <w:rPr>
      <w:b/>
    </w:rPr>
  </w:style>
  <w:style w:type="character" w:customStyle="1" w:styleId="Underlined">
    <w:name w:val="Underlined"/>
    <w:basedOn w:val="DefaultParagraphFont"/>
    <w:rsid w:val="00910561"/>
    <w:rPr>
      <w:u w:val="single"/>
    </w:rPr>
  </w:style>
  <w:style w:type="paragraph" w:customStyle="1" w:styleId="TableBodyTextRight">
    <w:name w:val="Table Body Text Right"/>
    <w:basedOn w:val="TableBodyText"/>
    <w:rsid w:val="009105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0561"/>
    <w:rPr>
      <w:sz w:val="18"/>
    </w:rPr>
  </w:style>
  <w:style w:type="paragraph" w:customStyle="1" w:styleId="BodySmallRight">
    <w:name w:val="Body Small Right"/>
    <w:basedOn w:val="BodyTextRight"/>
    <w:rsid w:val="00910561"/>
    <w:rPr>
      <w:sz w:val="18"/>
      <w:szCs w:val="18"/>
    </w:rPr>
  </w:style>
  <w:style w:type="paragraph" w:customStyle="1" w:styleId="MarginEdition">
    <w:name w:val="Margin Edition"/>
    <w:basedOn w:val="MarginNote"/>
    <w:rsid w:val="009105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0561"/>
    <w:rPr>
      <w:sz w:val="2"/>
      <w:szCs w:val="2"/>
    </w:rPr>
  </w:style>
  <w:style w:type="character" w:customStyle="1" w:styleId="Small">
    <w:name w:val="Small"/>
    <w:basedOn w:val="DefaultParagraphFont"/>
    <w:rsid w:val="00910561"/>
    <w:rPr>
      <w:sz w:val="16"/>
    </w:rPr>
  </w:style>
  <w:style w:type="paragraph" w:customStyle="1" w:styleId="WideTable">
    <w:name w:val="Wide Table"/>
    <w:basedOn w:val="Normal"/>
    <w:rsid w:val="009105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0561"/>
  </w:style>
  <w:style w:type="paragraph" w:styleId="Quote">
    <w:name w:val="Quote"/>
    <w:basedOn w:val="Heading1"/>
    <w:link w:val="QuoteChar"/>
    <w:qFormat/>
    <w:rsid w:val="009105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05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0561"/>
    <w:pPr>
      <w:pageBreakBefore/>
    </w:pPr>
  </w:style>
  <w:style w:type="paragraph" w:customStyle="1" w:styleId="Border">
    <w:name w:val="Border"/>
    <w:basedOn w:val="Normal"/>
    <w:qFormat/>
    <w:rsid w:val="009105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05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5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5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05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05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05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05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05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0561"/>
    <w:rPr>
      <w:u w:val="single"/>
    </w:rPr>
  </w:style>
  <w:style w:type="character" w:customStyle="1" w:styleId="BoldandItalics">
    <w:name w:val="Bold and Italics"/>
    <w:qFormat/>
    <w:rsid w:val="00910561"/>
    <w:rPr>
      <w:b/>
      <w:i/>
      <w:u w:val="none"/>
    </w:rPr>
  </w:style>
  <w:style w:type="paragraph" w:styleId="BalloonText">
    <w:name w:val="Balloon Text"/>
    <w:basedOn w:val="Normal"/>
    <w:link w:val="BalloonTextChar"/>
    <w:rsid w:val="009105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5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05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05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05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05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0561"/>
    <w:pPr>
      <w:spacing w:before="0" w:after="0"/>
    </w:pPr>
  </w:style>
  <w:style w:type="paragraph" w:customStyle="1" w:styleId="BodyTextBold">
    <w:name w:val="Body Text Bold"/>
    <w:basedOn w:val="BodyText"/>
    <w:qFormat/>
    <w:rsid w:val="00910561"/>
    <w:rPr>
      <w:b/>
    </w:rPr>
  </w:style>
  <w:style w:type="character" w:styleId="Hyperlink">
    <w:name w:val="Hyperlink"/>
    <w:basedOn w:val="DefaultParagraphFont"/>
    <w:uiPriority w:val="99"/>
    <w:unhideWhenUsed/>
    <w:rsid w:val="00485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494</Words>
  <Characters>3495</Characters>
  <Application>Microsoft Office Word</Application>
  <DocSecurity>0</DocSecurity>
  <Lines>87</Lines>
  <Paragraphs>67</Paragraphs>
  <ScaleCrop>false</ScaleCrop>
  <Company>Author-it Software Corporation Ltd.</Company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CPPHES4007 Assess thermal performance of existing residential buildings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2024-12-24T01:31:00Z</dcterms:created>
  <dcterms:modified xsi:type="dcterms:W3CDTF">2024-12-24T01:31:00Z</dcterms:modified>
</cp:coreProperties>
</file>