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4839" w:rsidP="009F483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CPPHES4005 Assess household energy use and efficiency improvements</w:t>
      </w:r>
      <w:r>
        <w:fldChar w:fldCharType="end"/>
      </w:r>
    </w:p>
    <w:p w:rsidR="009F4839" w:rsidP="009F4839">
      <w:pPr>
        <w:pStyle w:val="Version"/>
        <w:sectPr w:rsidSect="001B67D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B67D9" w:rsidP="001B67D9">
      <w:pPr>
        <w:pStyle w:val="SuperHeading"/>
      </w:pPr>
      <w:r w:rsidRPr="001B67D9">
        <w:t>CPPHES4005 Assess household energy use and efficiency i</w:t>
      </w:r>
      <w:r w:rsidRPr="001B67D9">
        <w:t>mprovements</w:t>
      </w:r>
    </w:p>
    <w:p w:rsidR="00000000" w:rsidRPr="001B67D9" w:rsidP="001B67D9">
      <w:pPr>
        <w:pStyle w:val="Heading1"/>
      </w:pPr>
      <w:bookmarkStart w:id="1" w:name="O_1186426"/>
      <w:bookmarkEnd w:id="1"/>
      <w:r w:rsidRPr="001B67D9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Release 2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7D9" w:rsidP="001B67D9">
            <w:pPr>
              <w:pStyle w:val="BodyText"/>
            </w:pPr>
            <w:r w:rsidRPr="001B67D9">
              <w:t>This version first released with CPP Property Services Training Package Release 14.0.</w:t>
            </w:r>
          </w:p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Updated reference to reflect correction in Modification History from CPC Property Services 5.0 to CPP Property Services 9.0.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7D9" w:rsidP="001B67D9">
            <w:pPr>
              <w:pStyle w:val="BodyText"/>
            </w:pPr>
            <w:r w:rsidRPr="001B67D9">
              <w:t>This version first released with CPC Property Services Training Package Release 5.0.</w:t>
            </w:r>
          </w:p>
          <w:p w:rsidR="00000000" w:rsidRPr="001B67D9" w:rsidP="001B67D9">
            <w:pPr>
              <w:pStyle w:val="BodyText"/>
            </w:pPr>
            <w:r w:rsidRPr="001B67D9">
              <w:t>Supersedes and equivalent to CPPHSA</w:t>
            </w:r>
            <w:r w:rsidRPr="001B67D9">
              <w:t>4001A Assess household energy use.  Updated to meet the Standards for Training Packages.</w:t>
            </w:r>
          </w:p>
        </w:tc>
      </w:tr>
    </w:tbl>
    <w:p w:rsidR="00000000" w:rsidRPr="001B67D9" w:rsidP="001B67D9">
      <w:pPr>
        <w:pStyle w:val="BodyText"/>
      </w:pPr>
    </w:p>
    <w:p w:rsidR="00000000" w:rsidRPr="001B67D9" w:rsidP="001B67D9">
      <w:pPr>
        <w:pStyle w:val="AllowPageBreak"/>
      </w:pPr>
    </w:p>
    <w:p w:rsidR="00000000" w:rsidRPr="001B67D9" w:rsidP="001B67D9">
      <w:pPr>
        <w:pStyle w:val="Heading1"/>
      </w:pPr>
      <w:bookmarkStart w:id="2" w:name="O_1186425"/>
      <w:bookmarkEnd w:id="2"/>
      <w:r w:rsidRPr="001B67D9">
        <w:t>Application</w:t>
      </w:r>
    </w:p>
    <w:p w:rsidR="00000000" w:rsidRPr="001B67D9" w:rsidP="009F4839">
      <w:pPr>
        <w:pStyle w:val="BodyText"/>
      </w:pPr>
      <w:r w:rsidRPr="001B67D9">
        <w:t xml:space="preserve">This unit specifies the skills and knowledge required to source and analyse information on household energy use and to advise on ways </w:t>
      </w:r>
      <w:r w:rsidRPr="001B67D9">
        <w:t>to improve energy efficiency and reduce energy costs in the home.</w:t>
      </w:r>
    </w:p>
    <w:p w:rsidR="00000000" w:rsidRPr="001B67D9" w:rsidP="009F4839">
      <w:pPr>
        <w:pStyle w:val="BodyText"/>
      </w:pPr>
      <w:r w:rsidRPr="001B67D9">
        <w:t xml:space="preserve">This unit is for individuals who work independently as home sustainability assessors using specialised knowledge to complete household energy assessments. It involves completing routine and </w:t>
      </w:r>
      <w:r w:rsidRPr="001B67D9">
        <w:t>non-routine tasks and dealing with predictable and sometimes unpredictable problems.</w:t>
      </w:r>
    </w:p>
    <w:p w:rsidR="00000000" w:rsidRPr="001B67D9" w:rsidP="009F4839">
      <w:pPr>
        <w:pStyle w:val="BodyText"/>
      </w:pPr>
      <w:r w:rsidRPr="001B67D9">
        <w:t>No licensing, legislative or certification requirements apply to this unit at the time of publication.</w:t>
      </w:r>
    </w:p>
    <w:p w:rsidR="00000000" w:rsidRPr="001B67D9" w:rsidP="001B67D9">
      <w:pPr>
        <w:pStyle w:val="Heading1"/>
      </w:pPr>
      <w:bookmarkStart w:id="3" w:name="O_1186424"/>
      <w:bookmarkEnd w:id="3"/>
      <w:r w:rsidRPr="001B67D9">
        <w:t>Pre-requisite Unit</w:t>
      </w:r>
    </w:p>
    <w:p w:rsidR="00000000" w:rsidRPr="001B67D9" w:rsidP="009F4839">
      <w:pPr>
        <w:pStyle w:val="BodyText"/>
      </w:pPr>
      <w:r w:rsidRPr="001B67D9">
        <w:t>None.</w:t>
      </w:r>
    </w:p>
    <w:p w:rsidR="00000000" w:rsidRPr="001B67D9" w:rsidP="001B67D9">
      <w:pPr>
        <w:pStyle w:val="Heading1"/>
      </w:pPr>
      <w:bookmarkStart w:id="4" w:name="O_1186423"/>
      <w:bookmarkEnd w:id="4"/>
      <w:r w:rsidRPr="001B67D9">
        <w:t xml:space="preserve">Unit </w:t>
      </w:r>
      <w:r w:rsidRPr="001B67D9">
        <w:t>Sector</w:t>
      </w:r>
    </w:p>
    <w:p w:rsidR="00000000" w:rsidRPr="001B67D9" w:rsidP="009F4839">
      <w:pPr>
        <w:pStyle w:val="BodyText"/>
      </w:pPr>
      <w:r w:rsidRPr="001B67D9">
        <w:t>Home Sustainability.</w:t>
      </w:r>
    </w:p>
    <w:p w:rsidR="00000000" w:rsidRPr="001B67D9" w:rsidP="001B67D9">
      <w:pPr>
        <w:pStyle w:val="Heading1"/>
      </w:pPr>
      <w:bookmarkStart w:id="5" w:name="O_1186422"/>
      <w:bookmarkEnd w:id="5"/>
      <w:r w:rsidRPr="001B67D9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3"/>
        <w:gridCol w:w="2357"/>
        <w:gridCol w:w="804"/>
        <w:gridCol w:w="5659"/>
      </w:tblGrid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Elements describe the essential outcomes.</w:t>
            </w:r>
          </w:p>
        </w:tc>
        <w:tc>
          <w:tcPr>
            <w:tcW w:w="6463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Performance criteria describe what needs to be done to demonstrate achievement of the element.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1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Plan and organise energy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1.1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Consult with client to clarify purpose of energy use assessment and respond to questions and concerns.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1.2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Confirm assessment requirements in line with client needs, legislation, regulations, standards, codes and government incentive programs for energy efficiency.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1.3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Plan energy use assessment in consultation with client and according to work health and sa</w:t>
            </w:r>
            <w:r w:rsidRPr="001B67D9">
              <w:t>fety (WHS) procedures.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1.4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 xml:space="preserve">Prepare energy use assessment documentation. 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1.5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Confirm that required tools and equipment are available and in working order.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Compile information on household energy generation, use, and costs.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Gather information on energy use, onsite energy production and storage and energy costs.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Access and interpret energy bills and metering data.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 xml:space="preserve">Identify main sources of energy use. 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 xml:space="preserve">Carry out measurements and observations safely during on-site inspection to estimate energy usage for key energy using appliances. 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Gather information on household occupant behaviours and preferences that impact energy use.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2.6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Record gathered information using suitable data collection tool.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3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Analyse data on household energy use.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3.1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Identify key features of household energy usage and estimate costs and greenhouse gas emissions for key appliances.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3.2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Reconcile energy use with energy billing data.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3.3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Identify cost effective measures and behavioural opportunities for improving energy efficiency.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3.4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Identify government rebates and other assistance programs for improving household energy efficiency.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3.5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 xml:space="preserve">Estimate energy, emissions and cost savings to be gained </w:t>
            </w:r>
            <w:r w:rsidRPr="001B67D9">
              <w:t>by implementing measures for improving energy efficiency.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4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Provide information on residential renewable energy.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4.1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Source technical information on renewal energy production and storage technologies and inform client.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4.2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Evaluate suitability of using residential property for renewable energy systems and discus</w:t>
            </w:r>
            <w:r w:rsidRPr="001B67D9">
              <w:t>s with client.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4.3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Identify feed in tariffs, government rebates and other assistance programs for installing energy production and storage technologies.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5</w:t>
            </w:r>
          </w:p>
        </w:tc>
        <w:tc>
          <w:tcPr>
            <w:tcW w:w="2357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Report findings of household energy assessment.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5.1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Collate results, recommendations and supporting evidence of energy use assessment.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5.2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 xml:space="preserve">Document options and potential savings and prioritise recommendations for energy efficiency measures in line with client needs. </w:t>
            </w:r>
          </w:p>
        </w:tc>
      </w:tr>
      <w:tr w:rsidTr="001B67D9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7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B67D9">
            <w:pPr>
              <w:pStyle w:val="BodyText"/>
              <w:rPr>
                <w:lang w:val="en-NZ"/>
              </w:rPr>
            </w:pPr>
            <w:r w:rsidRPr="001B67D9">
              <w:t>5.3</w:t>
            </w:r>
          </w:p>
        </w:tc>
        <w:tc>
          <w:tcPr>
            <w:tcW w:w="56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B67D9" w:rsidP="001B67D9">
            <w:pPr>
              <w:pStyle w:val="BodyText"/>
            </w:pPr>
            <w:r w:rsidRPr="001B67D9">
              <w:t>Explain report, indicative costs and improvements in household energy efficiency to client.</w:t>
            </w:r>
          </w:p>
        </w:tc>
      </w:tr>
    </w:tbl>
    <w:p w:rsidR="00000000" w:rsidRPr="001B67D9" w:rsidP="001B67D9">
      <w:pPr>
        <w:pStyle w:val="BodyText"/>
      </w:pPr>
    </w:p>
    <w:p w:rsidR="00000000" w:rsidRPr="001B67D9" w:rsidP="001B67D9">
      <w:pPr>
        <w:pStyle w:val="AllowPageBreak"/>
      </w:pPr>
    </w:p>
    <w:p w:rsidR="00000000" w:rsidRPr="001B67D9" w:rsidP="001B67D9">
      <w:pPr>
        <w:pStyle w:val="Heading1"/>
      </w:pPr>
      <w:bookmarkStart w:id="6" w:name="O_1186421"/>
      <w:bookmarkEnd w:id="6"/>
      <w:r w:rsidRPr="001B67D9">
        <w:t>Foundation Skills</w:t>
      </w:r>
    </w:p>
    <w:p w:rsidR="00000000" w:rsidRPr="001B67D9" w:rsidP="009F4839">
      <w:pPr>
        <w:pStyle w:val="BodyText"/>
      </w:pPr>
      <w:r w:rsidRPr="001B67D9">
        <w:t>As well as the foundation skills explicit in the performance criteria of this unit, candidates require:</w:t>
      </w:r>
    </w:p>
    <w:p w:rsidR="00000000" w:rsidRPr="001B67D9" w:rsidP="001B67D9">
      <w:pPr>
        <w:pStyle w:val="ListBullet"/>
      </w:pPr>
      <w:r w:rsidRPr="001B67D9">
        <w:t xml:space="preserve">oral communication </w:t>
      </w:r>
      <w:r w:rsidRPr="001B67D9">
        <w:t>skills to interact with clients from diverse social, economic and cultural backgrounds</w:t>
      </w:r>
    </w:p>
    <w:p w:rsidR="00000000" w:rsidRPr="001B67D9" w:rsidP="001B67D9">
      <w:pPr>
        <w:pStyle w:val="ListBullet"/>
      </w:pPr>
      <w:r w:rsidRPr="001B67D9">
        <w:t>numeracy skills to interpret data from gas and electricity meters and accounts and calculate costs and greenhouse gas emissions</w:t>
      </w:r>
    </w:p>
    <w:p w:rsidR="00000000" w:rsidRPr="001B67D9" w:rsidP="001B67D9">
      <w:pPr>
        <w:pStyle w:val="ListBullet"/>
      </w:pPr>
      <w:r w:rsidRPr="001B67D9">
        <w:t>reading skills to interpret data from gas</w:t>
      </w:r>
      <w:r w:rsidRPr="001B67D9">
        <w:t xml:space="preserve"> and electricity meters and the outputs of energy measuring tools, technical data from product specifications</w:t>
      </w:r>
    </w:p>
    <w:p w:rsidR="00000000" w:rsidRPr="001B67D9" w:rsidP="001B67D9">
      <w:pPr>
        <w:pStyle w:val="ListBullet"/>
      </w:pPr>
      <w:r w:rsidRPr="001B67D9">
        <w:t>technology skills to use basic computer functions, calculators and measuring tools.</w:t>
      </w:r>
    </w:p>
    <w:p w:rsidR="00000000" w:rsidRPr="001B67D9" w:rsidP="001B67D9">
      <w:pPr>
        <w:pStyle w:val="AllowPageBreak"/>
      </w:pPr>
    </w:p>
    <w:p w:rsidR="00000000" w:rsidRPr="001B67D9" w:rsidP="001B67D9">
      <w:pPr>
        <w:pStyle w:val="Heading1"/>
      </w:pPr>
      <w:bookmarkStart w:id="7" w:name="O_1186420"/>
      <w:bookmarkEnd w:id="7"/>
      <w:r w:rsidRPr="001B67D9">
        <w:t>Unit Mapping Information</w:t>
      </w:r>
    </w:p>
    <w:p w:rsidR="00000000" w:rsidRPr="001B67D9" w:rsidP="009F4839">
      <w:pPr>
        <w:pStyle w:val="BodyText"/>
      </w:pPr>
      <w:r w:rsidRPr="001B67D9">
        <w:t>Supersedes and equ</w:t>
      </w:r>
      <w:r w:rsidRPr="001B67D9">
        <w:t>ivalent to CPPHSA4001A Assess household energy use.</w:t>
      </w:r>
    </w:p>
    <w:p w:rsidR="00000000" w:rsidRPr="001B67D9" w:rsidP="001B67D9">
      <w:pPr>
        <w:pStyle w:val="Heading1"/>
      </w:pPr>
      <w:bookmarkStart w:id="8" w:name="O_1186427"/>
      <w:bookmarkEnd w:id="8"/>
      <w:r w:rsidRPr="001B67D9">
        <w:t>Links</w:t>
      </w:r>
    </w:p>
    <w:p w:rsidR="00000000" w:rsidRPr="001B67D9" w:rsidP="009F4839">
      <w:pPr>
        <w:pStyle w:val="BodyText"/>
      </w:pPr>
      <w:r w:rsidRPr="001B67D9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"https://vetnet.gov.au/Pages/TrainingDocs.aspx?q=6f3f9672-30e8-4835-b348-205dfcf13d9b" </w:instrText>
      </w:r>
      <w:r>
        <w:fldChar w:fldCharType="separate"/>
      </w:r>
      <w:r w:rsidRPr="000F5D23">
        <w:rPr>
          <w:rStyle w:val="Hyperlink"/>
        </w:rPr>
        <w:t>https://vetnet.gov.au/Pages/TrainingDocs.aspx?q=6f3f9672-30e8-4835-b348-205dfcf13d9b</w:t>
      </w:r>
      <w:r>
        <w:fldChar w:fldCharType="end"/>
      </w:r>
    </w:p>
    <w:p w:rsidR="00000000" w:rsidRPr="001B67D9" w:rsidP="001B67D9"/>
    <w:sectPr w:rsidSect="001B67D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7D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7D9" w:rsidRPr="009F4839" w:rsidP="009F483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7D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839" w:rsidP="001B67D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F4839" w:rsidP="001B67D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F4839" w:rsidP="001B67D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7D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83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B67D9" w:rsidRPr="009F4839" w:rsidP="009F483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B67D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839" w:rsidRPr="002D2AF8" w:rsidP="001B67D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CPPHES4005 Assess household energy use and efficiency improvements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December 2024</w:t>
    </w:r>
    <w:r>
      <w:fldChar w:fldCharType="end"/>
    </w:r>
  </w:p>
  <w:p w:rsidR="009F4839" w:rsidP="001B67D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8BAE5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28243CF8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B67D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B67D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B67D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B67D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B67D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B67D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B67D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B67D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B67D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B67D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B67D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B67D9"/>
  </w:style>
  <w:style w:type="character" w:customStyle="1" w:styleId="Heading1Char">
    <w:name w:val="Heading 1 Char"/>
    <w:basedOn w:val="DefaultParagraphFont"/>
    <w:link w:val="Heading1"/>
    <w:rsid w:val="001B67D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B67D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B67D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B67D9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B67D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B67D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B67D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B67D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B67D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B6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B67D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B6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B67D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B67D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B67D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B67D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B67D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B67D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B67D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B67D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B67D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B67D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B67D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B67D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B67D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B67D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B67D9"/>
    <w:rPr>
      <w:b/>
      <w:spacing w:val="0"/>
    </w:rPr>
  </w:style>
  <w:style w:type="paragraph" w:customStyle="1" w:styleId="SuperTitle">
    <w:name w:val="SuperTitle"/>
    <w:basedOn w:val="Title"/>
    <w:rsid w:val="001B67D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B67D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B67D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B67D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B67D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B67D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B67D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B67D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B67D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B67D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B67D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B67D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B67D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B67D9"/>
    <w:rPr>
      <w:i/>
    </w:rPr>
  </w:style>
  <w:style w:type="paragraph" w:styleId="Caption">
    <w:name w:val="caption"/>
    <w:basedOn w:val="BodyText"/>
    <w:next w:val="Normal"/>
    <w:qFormat/>
    <w:rsid w:val="001B67D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B67D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B67D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B67D9"/>
  </w:style>
  <w:style w:type="paragraph" w:styleId="TableofFigures">
    <w:name w:val="table of figures"/>
    <w:basedOn w:val="Normal"/>
    <w:next w:val="Normal"/>
    <w:semiHidden/>
    <w:rsid w:val="001B67D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B67D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B67D9"/>
    <w:rPr>
      <w:rFonts w:ascii="Wingdings" w:hAnsi="Wingdings"/>
    </w:rPr>
  </w:style>
  <w:style w:type="paragraph" w:customStyle="1" w:styleId="TableHeading">
    <w:name w:val="Table Heading"/>
    <w:basedOn w:val="HeadingBase"/>
    <w:rsid w:val="001B67D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B67D9"/>
    <w:rPr>
      <w:color w:val="0033CC"/>
      <w:u w:val="none"/>
    </w:rPr>
  </w:style>
  <w:style w:type="paragraph" w:customStyle="1" w:styleId="BodyTextRight">
    <w:name w:val="Body Text Right"/>
    <w:basedOn w:val="BodyText"/>
    <w:rsid w:val="001B67D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B67D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B67D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B67D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B67D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B67D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B67D9"/>
    <w:rPr>
      <w:sz w:val="32"/>
    </w:rPr>
  </w:style>
  <w:style w:type="paragraph" w:customStyle="1" w:styleId="HeadingProcedure">
    <w:name w:val="Heading Procedure"/>
    <w:basedOn w:val="HeadingBase"/>
    <w:next w:val="Normal"/>
    <w:rsid w:val="001B67D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B67D9"/>
    <w:pPr>
      <w:spacing w:before="60" w:after="60"/>
    </w:pPr>
  </w:style>
  <w:style w:type="paragraph" w:styleId="ListContinue">
    <w:name w:val="List Continue"/>
    <w:basedOn w:val="List"/>
    <w:rsid w:val="001B67D9"/>
    <w:pPr>
      <w:ind w:firstLine="0"/>
    </w:pPr>
  </w:style>
  <w:style w:type="paragraph" w:customStyle="1" w:styleId="ListNote">
    <w:name w:val="List Note"/>
    <w:basedOn w:val="List"/>
    <w:rsid w:val="001B67D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B67D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B67D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B67D9"/>
    <w:rPr>
      <w:rFonts w:ascii="Courier New" w:hAnsi="Courier New"/>
    </w:rPr>
  </w:style>
  <w:style w:type="paragraph" w:customStyle="1" w:styleId="NoteBullet">
    <w:name w:val="Note Bullet"/>
    <w:basedOn w:val="Note"/>
    <w:rsid w:val="001B67D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B67D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B67D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B67D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B67D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B67D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B67D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B67D9"/>
    <w:rPr>
      <w:b/>
      <w:smallCaps/>
    </w:rPr>
  </w:style>
  <w:style w:type="paragraph" w:customStyle="1" w:styleId="TableListNumber">
    <w:name w:val="Table List Number"/>
    <w:basedOn w:val="ListNumber"/>
    <w:rsid w:val="001B67D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B67D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B67D9"/>
    <w:pPr>
      <w:numPr>
        <w:numId w:val="8"/>
      </w:numPr>
    </w:pPr>
  </w:style>
  <w:style w:type="paragraph" w:customStyle="1" w:styleId="ListAlpha2">
    <w:name w:val="List Alpha 2"/>
    <w:basedOn w:val="List2"/>
    <w:rsid w:val="001B67D9"/>
    <w:pPr>
      <w:numPr>
        <w:numId w:val="7"/>
      </w:numPr>
    </w:pPr>
  </w:style>
  <w:style w:type="paragraph" w:styleId="List2">
    <w:name w:val="List 2"/>
    <w:basedOn w:val="BodyText"/>
    <w:rsid w:val="001B67D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B67D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B67D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B67D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B67D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B67D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B67D9"/>
    <w:pPr>
      <w:numPr>
        <w:numId w:val="3"/>
      </w:numPr>
    </w:pPr>
  </w:style>
  <w:style w:type="paragraph" w:styleId="ListContinue2">
    <w:name w:val="List Continue 2"/>
    <w:basedOn w:val="List2"/>
    <w:rsid w:val="001B67D9"/>
    <w:pPr>
      <w:ind w:firstLine="0"/>
    </w:pPr>
  </w:style>
  <w:style w:type="paragraph" w:styleId="ListContinue3">
    <w:name w:val="List Continue 3"/>
    <w:basedOn w:val="List3"/>
    <w:rsid w:val="001B67D9"/>
    <w:pPr>
      <w:ind w:left="1021" w:firstLine="0"/>
    </w:pPr>
  </w:style>
  <w:style w:type="paragraph" w:styleId="ListContinue4">
    <w:name w:val="List Continue 4"/>
    <w:basedOn w:val="List4"/>
    <w:rsid w:val="001B67D9"/>
    <w:pPr>
      <w:ind w:firstLine="0"/>
    </w:pPr>
  </w:style>
  <w:style w:type="paragraph" w:styleId="ListContinue5">
    <w:name w:val="List Continue 5"/>
    <w:basedOn w:val="List5"/>
    <w:rsid w:val="001B67D9"/>
    <w:pPr>
      <w:ind w:firstLine="0"/>
    </w:pPr>
  </w:style>
  <w:style w:type="paragraph" w:styleId="ListNumber3">
    <w:name w:val="List Number 3"/>
    <w:basedOn w:val="List3"/>
    <w:rsid w:val="001B67D9"/>
    <w:pPr>
      <w:numPr>
        <w:numId w:val="4"/>
      </w:numPr>
    </w:pPr>
  </w:style>
  <w:style w:type="paragraph" w:styleId="ListNumber4">
    <w:name w:val="List Number 4"/>
    <w:basedOn w:val="List4"/>
    <w:rsid w:val="001B67D9"/>
    <w:pPr>
      <w:numPr>
        <w:numId w:val="5"/>
      </w:numPr>
    </w:pPr>
  </w:style>
  <w:style w:type="paragraph" w:styleId="ListNumber5">
    <w:name w:val="List Number 5"/>
    <w:basedOn w:val="List5"/>
    <w:rsid w:val="001B67D9"/>
    <w:pPr>
      <w:numPr>
        <w:numId w:val="6"/>
      </w:numPr>
    </w:pPr>
  </w:style>
  <w:style w:type="paragraph" w:styleId="BlockText">
    <w:name w:val="Block Text"/>
    <w:basedOn w:val="Normal"/>
    <w:rsid w:val="001B67D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B67D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B67D9"/>
    <w:rPr>
      <w:sz w:val="16"/>
      <w:vertAlign w:val="superscript"/>
    </w:rPr>
  </w:style>
  <w:style w:type="character" w:customStyle="1" w:styleId="Symbols">
    <w:name w:val="Symbols"/>
    <w:basedOn w:val="DefaultParagraphFont"/>
    <w:rsid w:val="001B67D9"/>
    <w:rPr>
      <w:rFonts w:ascii="Symbol" w:hAnsi="Symbol"/>
    </w:rPr>
  </w:style>
  <w:style w:type="character" w:customStyle="1" w:styleId="MenuOptions">
    <w:name w:val="Menu Options"/>
    <w:basedOn w:val="DefaultParagraphFont"/>
    <w:rsid w:val="001B67D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B67D9"/>
    <w:rPr>
      <w:b/>
    </w:rPr>
  </w:style>
  <w:style w:type="character" w:customStyle="1" w:styleId="Underlined">
    <w:name w:val="Underlined"/>
    <w:basedOn w:val="DefaultParagraphFont"/>
    <w:rsid w:val="001B67D9"/>
    <w:rPr>
      <w:u w:val="single"/>
    </w:rPr>
  </w:style>
  <w:style w:type="paragraph" w:customStyle="1" w:styleId="TableBodyTextRight">
    <w:name w:val="Table Body Text Right"/>
    <w:basedOn w:val="TableBodyText"/>
    <w:rsid w:val="001B67D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B67D9"/>
    <w:rPr>
      <w:sz w:val="18"/>
    </w:rPr>
  </w:style>
  <w:style w:type="paragraph" w:customStyle="1" w:styleId="BodySmallRight">
    <w:name w:val="Body Small Right"/>
    <w:basedOn w:val="BodyTextRight"/>
    <w:rsid w:val="001B67D9"/>
    <w:rPr>
      <w:sz w:val="18"/>
      <w:szCs w:val="18"/>
    </w:rPr>
  </w:style>
  <w:style w:type="paragraph" w:customStyle="1" w:styleId="MarginEdition">
    <w:name w:val="Margin Edition"/>
    <w:basedOn w:val="MarginNote"/>
    <w:rsid w:val="001B67D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B67D9"/>
    <w:rPr>
      <w:sz w:val="2"/>
      <w:szCs w:val="2"/>
    </w:rPr>
  </w:style>
  <w:style w:type="character" w:customStyle="1" w:styleId="Small">
    <w:name w:val="Small"/>
    <w:basedOn w:val="DefaultParagraphFont"/>
    <w:rsid w:val="001B67D9"/>
    <w:rPr>
      <w:sz w:val="16"/>
    </w:rPr>
  </w:style>
  <w:style w:type="paragraph" w:customStyle="1" w:styleId="WideTable">
    <w:name w:val="Wide Table"/>
    <w:basedOn w:val="Normal"/>
    <w:rsid w:val="001B67D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B67D9"/>
  </w:style>
  <w:style w:type="paragraph" w:styleId="Quote">
    <w:name w:val="Quote"/>
    <w:basedOn w:val="Heading1"/>
    <w:link w:val="QuoteChar"/>
    <w:qFormat/>
    <w:rsid w:val="001B67D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B67D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B67D9"/>
    <w:pPr>
      <w:pageBreakBefore/>
    </w:pPr>
  </w:style>
  <w:style w:type="paragraph" w:customStyle="1" w:styleId="Border">
    <w:name w:val="Border"/>
    <w:basedOn w:val="Normal"/>
    <w:qFormat/>
    <w:rsid w:val="001B67D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B67D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B67D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B67D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B67D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B67D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B67D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B67D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B67D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B67D9"/>
    <w:rPr>
      <w:u w:val="single"/>
    </w:rPr>
  </w:style>
  <w:style w:type="character" w:customStyle="1" w:styleId="BoldandItalics">
    <w:name w:val="Bold and Italics"/>
    <w:qFormat/>
    <w:rsid w:val="001B67D9"/>
    <w:rPr>
      <w:b/>
      <w:i/>
      <w:u w:val="none"/>
    </w:rPr>
  </w:style>
  <w:style w:type="paragraph" w:styleId="BalloonText">
    <w:name w:val="Balloon Text"/>
    <w:basedOn w:val="Normal"/>
    <w:link w:val="BalloonTextChar"/>
    <w:rsid w:val="001B67D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B67D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B67D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B67D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B67D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B67D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B67D9"/>
    <w:pPr>
      <w:spacing w:before="0" w:after="0"/>
    </w:pPr>
  </w:style>
  <w:style w:type="paragraph" w:customStyle="1" w:styleId="BodyTextBold">
    <w:name w:val="Body Text Bold"/>
    <w:basedOn w:val="BodyText"/>
    <w:qFormat/>
    <w:rsid w:val="001B67D9"/>
    <w:rPr>
      <w:b/>
    </w:rPr>
  </w:style>
  <w:style w:type="character" w:styleId="Hyperlink">
    <w:name w:val="Hyperlink"/>
    <w:basedOn w:val="DefaultParagraphFont"/>
    <w:uiPriority w:val="99"/>
    <w:unhideWhenUsed/>
    <w:rsid w:val="009F483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680</Words>
  <Characters>4276</Characters>
  <Application>Microsoft Office Word</Application>
  <DocSecurity>0</DocSecurity>
  <Lines>203</Lines>
  <Paragraphs>103</Paragraphs>
  <ScaleCrop>false</ScaleCrop>
  <Company>Author-it Software Corporation Ltd.</Company>
  <LinksUpToDate>false</LinksUpToDate>
  <CharactersWithSpaces>4853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CPPHES4005 Assess household energy use and efficiency improvements</dc:title>
  <dc:subject>Approved</dc:subject>
  <dc:creator>BuildSkills Australia</dc:creator>
  <cp:keywords>Release: 2</cp:keywords>
  <dc:description>Review Date: 12 April 2008</dc:description>
  <cp:lastModifiedBy>HSD_TPCMSd.prod</cp:lastModifiedBy>
  <cp:revision>3</cp:revision>
  <dcterms:created xsi:type="dcterms:W3CDTF">2024-12-24T01:15:00Z</dcterms:created>
  <dcterms:modified xsi:type="dcterms:W3CDTF">2024-12-24T01:15:00Z</dcterms:modified>
</cp:coreProperties>
</file>