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218" w:rsidP="00C35218">
      <w:pPr>
        <w:pStyle w:val="Title"/>
      </w:pPr>
      <w:r>
        <w:fldChar w:fldCharType="begin"/>
      </w:r>
      <w:r>
        <w:instrText xml:space="preserve"> TITLE   \* MERGEFORMAT </w:instrText>
      </w:r>
      <w:r>
        <w:fldChar w:fldCharType="separate"/>
      </w:r>
      <w:r>
        <w:t>CPPHES4002 Advise clients on thermal performance of residential buildings</w:t>
      </w:r>
      <w:r>
        <w:fldChar w:fldCharType="end"/>
      </w:r>
    </w:p>
    <w:p w:rsidR="00C35218" w:rsidP="00C35218">
      <w:pPr>
        <w:pStyle w:val="Version"/>
        <w:sectPr w:rsidSect="00143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3F09" w:rsidP="00143F09">
      <w:pPr>
        <w:pStyle w:val="SuperHeading"/>
      </w:pPr>
      <w:r w:rsidRPr="00143F09">
        <w:t>CPPHES4002 Advise clients on thermal performance of residential buildings</w:t>
      </w:r>
    </w:p>
    <w:p w:rsidR="00000000" w:rsidRPr="00143F09" w:rsidP="00143F09">
      <w:pPr>
        <w:pStyle w:val="Heading1"/>
      </w:pPr>
      <w:bookmarkStart w:id="1" w:name="O_1186378"/>
      <w:bookmarkEnd w:id="1"/>
      <w:r w:rsidRPr="00143F09">
        <w:t>Modification History</w:t>
      </w:r>
    </w:p>
    <w:tbl>
      <w:tblPr>
        <w:tblW w:w="0" w:type="auto"/>
        <w:tblLayout w:type="fixed"/>
        <w:tblCellMar>
          <w:left w:w="62" w:type="dxa"/>
          <w:right w:w="62" w:type="dxa"/>
        </w:tblCellMar>
        <w:tblLook w:val="0000"/>
      </w:tblPr>
      <w:tblGrid>
        <w:gridCol w:w="1128"/>
        <w:gridCol w:w="7944"/>
      </w:tblGrid>
      <w:tr w:rsidTr="00143F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Release 2</w:t>
            </w:r>
          </w:p>
        </w:tc>
        <w:tc>
          <w:tcPr>
            <w:tcW w:w="7944" w:type="dxa"/>
            <w:tcBorders>
              <w:top w:val="nil"/>
              <w:left w:val="nil"/>
              <w:bottom w:val="nil"/>
              <w:right w:val="nil"/>
            </w:tcBorders>
            <w:tcMar>
              <w:top w:w="0" w:type="dxa"/>
              <w:left w:w="62" w:type="dxa"/>
              <w:bottom w:w="0" w:type="dxa"/>
              <w:right w:w="62" w:type="dxa"/>
            </w:tcMar>
          </w:tcPr>
          <w:p w:rsidR="00000000" w:rsidRPr="00143F09" w:rsidP="00143F09">
            <w:pPr>
              <w:pStyle w:val="BodyText"/>
            </w:pPr>
            <w:r w:rsidRPr="00143F09">
              <w:t>This version first released with CPP Property Services Training Package Release 14.0.</w:t>
            </w:r>
          </w:p>
          <w:p w:rsidR="00000000" w:rsidP="00143F09">
            <w:pPr>
              <w:pStyle w:val="BodyText"/>
              <w:rPr>
                <w:lang w:val="en-NZ"/>
              </w:rPr>
            </w:pPr>
            <w:r w:rsidRPr="00143F09">
              <w:t>Updated reference to reflect correction in Modification History from CPC Property Services 5.0 to CPP Property Services 9.0.</w:t>
            </w:r>
          </w:p>
        </w:tc>
      </w:tr>
      <w:tr w:rsidTr="00143F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Release 1</w:t>
            </w:r>
          </w:p>
        </w:tc>
        <w:tc>
          <w:tcPr>
            <w:tcW w:w="7944" w:type="dxa"/>
            <w:tcBorders>
              <w:top w:val="nil"/>
              <w:left w:val="nil"/>
              <w:bottom w:val="nil"/>
              <w:right w:val="nil"/>
            </w:tcBorders>
            <w:tcMar>
              <w:top w:w="0" w:type="dxa"/>
              <w:left w:w="62" w:type="dxa"/>
              <w:bottom w:w="0" w:type="dxa"/>
              <w:right w:w="62" w:type="dxa"/>
            </w:tcMar>
          </w:tcPr>
          <w:p w:rsidR="00000000" w:rsidRPr="00143F09" w:rsidP="00143F09">
            <w:pPr>
              <w:pStyle w:val="BodyText"/>
            </w:pPr>
            <w:r w:rsidRPr="00143F09">
              <w:t>This version first released with CPC Property Services Training Package Release 5.0.</w:t>
            </w:r>
          </w:p>
          <w:p w:rsidR="00000000" w:rsidRPr="00143F09" w:rsidP="00143F09">
            <w:pPr>
              <w:pStyle w:val="BodyText"/>
            </w:pPr>
            <w:r w:rsidRPr="00143F09">
              <w:t>Supersedes and equivalent to CPPHSA</w:t>
            </w:r>
            <w:r w:rsidRPr="00143F09">
              <w:t>4019A Inform clients about thermal performance of residential buildings.  Updated to meet the Standards for Training Packages.</w:t>
            </w:r>
          </w:p>
        </w:tc>
      </w:tr>
    </w:tbl>
    <w:p w:rsidR="00000000" w:rsidRPr="00143F09" w:rsidP="00143F09">
      <w:pPr>
        <w:pStyle w:val="BodyText"/>
      </w:pPr>
    </w:p>
    <w:p w:rsidR="00000000" w:rsidRPr="00143F09" w:rsidP="00143F09">
      <w:pPr>
        <w:pStyle w:val="AllowPageBreak"/>
      </w:pPr>
    </w:p>
    <w:p w:rsidR="00000000" w:rsidRPr="00143F09" w:rsidP="00143F09">
      <w:pPr>
        <w:pStyle w:val="Heading1"/>
      </w:pPr>
      <w:bookmarkStart w:id="2" w:name="O_1186377"/>
      <w:bookmarkEnd w:id="2"/>
      <w:r w:rsidRPr="00143F09">
        <w:t>Application</w:t>
      </w:r>
    </w:p>
    <w:p w:rsidR="00000000" w:rsidRPr="00143F09" w:rsidP="00C35218">
      <w:pPr>
        <w:pStyle w:val="BodyText"/>
      </w:pPr>
      <w:r w:rsidRPr="00143F09">
        <w:t xml:space="preserve">This unit specifies the skills and knowledge required to explain the factors that contribute to </w:t>
      </w:r>
      <w:r w:rsidRPr="00143F09">
        <w:t>the thermal performance of residential buildings when providing advice to clients as part of a home sustainability or Nationwide House Energy Rating Scheme (NatHERS) assessment.  It includes explaining the heat transfer process, factors that impact thermal</w:t>
      </w:r>
      <w:r w:rsidRPr="00143F09">
        <w:t xml:space="preserve"> comfort, how climatic conditions, building design and materials influence thermal performance, and the principles of passive design.</w:t>
      </w:r>
    </w:p>
    <w:p w:rsidR="00000000" w:rsidRPr="00143F09" w:rsidP="00C35218">
      <w:pPr>
        <w:pStyle w:val="BodyText"/>
      </w:pPr>
      <w:r w:rsidRPr="00143F09">
        <w:t>This unit is for individuals who work independently as home sustainability or NatHERS assessors who use specialised knowle</w:t>
      </w:r>
      <w:r w:rsidRPr="00143F09">
        <w:t>dge to assess and make recommendations for improving the thermal performance of residential buildings.  It involves completing routine and non-routine tasks and dealing with predictable and sometimes unpredictable problems.</w:t>
      </w:r>
    </w:p>
    <w:p w:rsidR="00000000" w:rsidRPr="00143F09" w:rsidP="00C35218">
      <w:pPr>
        <w:pStyle w:val="BodyText"/>
      </w:pPr>
      <w:r w:rsidRPr="00143F09">
        <w:t>No licensing, legislative or cer</w:t>
      </w:r>
      <w:r w:rsidRPr="00143F09">
        <w:t>tification requirements apply to this unit at the time of publication.</w:t>
      </w:r>
    </w:p>
    <w:p w:rsidR="00000000" w:rsidRPr="00143F09" w:rsidP="00143F09">
      <w:pPr>
        <w:pStyle w:val="Heading1"/>
      </w:pPr>
      <w:bookmarkStart w:id="3" w:name="O_1186376"/>
      <w:bookmarkEnd w:id="3"/>
      <w:r w:rsidRPr="00143F09">
        <w:t>Pre-requisite Unit</w:t>
      </w:r>
    </w:p>
    <w:p w:rsidR="00000000" w:rsidRPr="00143F09" w:rsidP="00C35218">
      <w:pPr>
        <w:pStyle w:val="BodyText"/>
      </w:pPr>
      <w:r w:rsidRPr="00143F09">
        <w:t>None.</w:t>
      </w:r>
    </w:p>
    <w:p w:rsidR="00000000" w:rsidRPr="00143F09" w:rsidP="00143F09">
      <w:pPr>
        <w:pStyle w:val="Heading1"/>
      </w:pPr>
      <w:bookmarkStart w:id="4" w:name="O_1186375"/>
      <w:bookmarkEnd w:id="4"/>
      <w:r w:rsidRPr="00143F09">
        <w:t>Unit Sector</w:t>
      </w:r>
    </w:p>
    <w:p w:rsidR="00000000" w:rsidRPr="00143F09" w:rsidP="00C35218">
      <w:pPr>
        <w:pStyle w:val="BodyText"/>
      </w:pPr>
      <w:r w:rsidRPr="00143F09">
        <w:t>Home Sustainability.</w:t>
      </w:r>
    </w:p>
    <w:p w:rsidR="00000000" w:rsidRPr="00143F09" w:rsidP="00143F09">
      <w:pPr>
        <w:pStyle w:val="Heading1"/>
      </w:pPr>
      <w:bookmarkStart w:id="5" w:name="O_1186374"/>
      <w:bookmarkEnd w:id="5"/>
      <w:r w:rsidRPr="00143F0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43F0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Performance criteria describe what needs to be done to demonstrate achievement of the element.</w:t>
            </w:r>
          </w:p>
        </w:tc>
      </w:tr>
      <w:tr w:rsidTr="00143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w:t>
            </w:r>
          </w:p>
        </w:tc>
        <w:tc>
          <w:tcPr>
            <w:tcW w:w="2357"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Advise client on relationship between building thermal performance and energy use.</w:t>
            </w: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1.1</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concept of buil</w:t>
            </w:r>
            <w:r w:rsidRPr="00143F09">
              <w:t>ding thermal performance.</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1.2</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Identify and communicate the impact of building materials on thermal performance of buildings.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1.3</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relationship between building thermal performance, heating and cooling and energy consumption.</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1.4</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main uses of energy in buildings and the proportion attributed to heating and cooling.</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1.5</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environmental and social impacts of energy use.</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1.6</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Check client understanding of building thermal performance and energy use and respond to questions to clarify advice.</w:t>
            </w:r>
          </w:p>
        </w:tc>
      </w:tr>
      <w:tr w:rsidTr="00143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F09">
            <w:pPr>
              <w:pStyle w:val="BodyText"/>
              <w:rPr>
                <w:lang w:val="en-NZ"/>
              </w:rPr>
            </w:pPr>
          </w:p>
        </w:tc>
      </w:tr>
      <w:tr w:rsidTr="00143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2</w:t>
            </w:r>
          </w:p>
        </w:tc>
        <w:tc>
          <w:tcPr>
            <w:tcW w:w="2357"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Advise client on the heat transfer process in residential buildings.</w:t>
            </w: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2.1</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process of heat transfer in residential buildings.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2.2</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meanings of key terms used to describe heat transfer.</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2.3</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ways in which residential buildings lose and gain heat.</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2.4</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Check client understanding of the heat transfer process and respond to questions to clarify advice.</w:t>
            </w:r>
          </w:p>
        </w:tc>
      </w:tr>
      <w:tr w:rsidTr="00143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F09">
            <w:pPr>
              <w:pStyle w:val="BodyText"/>
              <w:rPr>
                <w:lang w:val="en-NZ"/>
              </w:rPr>
            </w:pPr>
          </w:p>
        </w:tc>
      </w:tr>
      <w:tr w:rsidTr="00143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3</w:t>
            </w:r>
          </w:p>
        </w:tc>
        <w:tc>
          <w:tcPr>
            <w:tcW w:w="2357"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Advise client on factors that impact thermal comfort.</w:t>
            </w: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3.1</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thermal comfort and its use in building thermal performance assessments.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3.2</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physical factors that influence thermal comfort.</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3.3</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methods for determining building occupant requirements for thermal comfort.</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3.4</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 xml:space="preserve">Check client understanding of factors that impact on </w:t>
            </w:r>
            <w:r w:rsidRPr="00143F09">
              <w:t>thermal comfort and respond to questions to clarify advice.</w:t>
            </w:r>
          </w:p>
        </w:tc>
      </w:tr>
      <w:tr w:rsidTr="00143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F09">
            <w:pPr>
              <w:pStyle w:val="BodyText"/>
              <w:rPr>
                <w:lang w:val="en-NZ"/>
              </w:rPr>
            </w:pPr>
          </w:p>
        </w:tc>
      </w:tr>
      <w:tr w:rsidTr="00143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w:t>
            </w:r>
          </w:p>
        </w:tc>
        <w:tc>
          <w:tcPr>
            <w:tcW w:w="2357"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Advise client on the influence of climatic conditions on building thermal performance.</w:t>
            </w: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4.1</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 xml:space="preserve">Identify major Australian climate zones and </w:t>
            </w:r>
            <w:r w:rsidRPr="00143F09">
              <w:t>explain their key characteristics associated with thermal performance.</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4.2</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types and uses of climate data in carrying out thermal performance assessments.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4.3</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impact of local climatic conditions on building thermal performance.</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4.4</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ways of improving thermal performance appropriate to the relevant climate zone.</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4.5</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Check client understanding of how climatic conditions influence thermal performance of residential buildings and respond to questions to clarify advice.</w:t>
            </w:r>
          </w:p>
        </w:tc>
      </w:tr>
      <w:tr w:rsidTr="00143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F09">
            <w:pPr>
              <w:pStyle w:val="BodyText"/>
              <w:rPr>
                <w:lang w:val="en-NZ"/>
              </w:rPr>
            </w:pPr>
          </w:p>
        </w:tc>
      </w:tr>
      <w:tr w:rsidTr="00143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5</w:t>
            </w:r>
          </w:p>
        </w:tc>
        <w:tc>
          <w:tcPr>
            <w:tcW w:w="2357" w:type="dxa"/>
            <w:vMerge w:val="restart"/>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Advise client on the principles of passive design.</w:t>
            </w: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5.1</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principles of passive design</w:t>
            </w:r>
            <w:r w:rsidRPr="00143F09">
              <w:t>.</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5.2</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the application of passive design principles to planned and existing residential buildings.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5.3</w:t>
            </w:r>
          </w:p>
        </w:tc>
        <w:tc>
          <w:tcPr>
            <w:tcW w:w="5659"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Explain factors that diminish the thermal performance of buildings.</w:t>
            </w:r>
          </w:p>
        </w:tc>
      </w:tr>
      <w:tr w:rsidTr="00143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5.4</w:t>
            </w:r>
          </w:p>
        </w:tc>
        <w:tc>
          <w:tcPr>
            <w:tcW w:w="5659" w:type="dxa"/>
            <w:tcBorders>
              <w:top w:val="nil"/>
              <w:left w:val="nil"/>
              <w:bottom w:val="nil"/>
              <w:right w:val="nil"/>
            </w:tcBorders>
            <w:tcMar>
              <w:top w:w="0" w:type="dxa"/>
              <w:left w:w="62" w:type="dxa"/>
              <w:bottom w:w="0" w:type="dxa"/>
              <w:right w:w="62" w:type="dxa"/>
            </w:tcMar>
          </w:tcPr>
          <w:p w:rsidR="00000000" w:rsidRPr="00143F09" w:rsidP="00143F09">
            <w:pPr>
              <w:pStyle w:val="BodyText"/>
            </w:pPr>
            <w:r w:rsidRPr="00143F09">
              <w:t>Check client understanding of the principles of passive design and respond to questions to clarify advice.</w:t>
            </w:r>
          </w:p>
        </w:tc>
      </w:tr>
    </w:tbl>
    <w:p w:rsidR="00000000" w:rsidRPr="00143F09" w:rsidP="00143F09">
      <w:pPr>
        <w:pStyle w:val="BodyText"/>
      </w:pPr>
    </w:p>
    <w:p w:rsidR="00000000" w:rsidRPr="00143F09" w:rsidP="00143F09">
      <w:pPr>
        <w:pStyle w:val="AllowPageBreak"/>
      </w:pPr>
    </w:p>
    <w:p w:rsidR="00000000" w:rsidRPr="00143F09" w:rsidP="00143F09">
      <w:pPr>
        <w:pStyle w:val="Heading1"/>
      </w:pPr>
      <w:bookmarkStart w:id="6" w:name="O_1186373"/>
      <w:bookmarkEnd w:id="6"/>
      <w:r w:rsidRPr="00143F09">
        <w:t>Foundation Skills</w:t>
      </w:r>
    </w:p>
    <w:p w:rsidR="00000000" w:rsidRPr="00143F09" w:rsidP="00C35218">
      <w:pPr>
        <w:pStyle w:val="BodyText"/>
      </w:pPr>
      <w:r w:rsidRPr="00143F09">
        <w:t>As well as the foundation skills explicit in the performance criteria of this unit, candidates require:</w:t>
      </w:r>
    </w:p>
    <w:p w:rsidR="00000000" w:rsidRPr="00143F09" w:rsidP="00143F09">
      <w:pPr>
        <w:pStyle w:val="ListBullet"/>
      </w:pPr>
      <w:r w:rsidRPr="00143F09">
        <w:t>oral communication skills to use clear explanations, active listening and questioning skills to convey and clarify industry concepts and terminology</w:t>
      </w:r>
    </w:p>
    <w:p w:rsidR="00000000" w:rsidRPr="00143F09" w:rsidP="00143F09">
      <w:pPr>
        <w:pStyle w:val="ListBullet"/>
      </w:pPr>
      <w:r w:rsidRPr="00143F09">
        <w:t xml:space="preserve">numeracy skills to interpret climate data and apply correct units of measurement when describing power and </w:t>
      </w:r>
      <w:r w:rsidRPr="00143F09">
        <w:t>energy to clients</w:t>
      </w:r>
    </w:p>
    <w:p w:rsidR="00000000" w:rsidRPr="00143F09" w:rsidP="00143F09">
      <w:pPr>
        <w:pStyle w:val="ListBullet"/>
      </w:pPr>
      <w:r w:rsidRPr="00143F09">
        <w:t>technology skills to access and transmit electronic information when providing client advice.</w:t>
      </w:r>
    </w:p>
    <w:p w:rsidR="00000000" w:rsidRPr="00143F09" w:rsidP="00143F09">
      <w:pPr>
        <w:pStyle w:val="AllowPageBreak"/>
      </w:pPr>
    </w:p>
    <w:p w:rsidR="00000000" w:rsidRPr="00143F09" w:rsidP="00143F09">
      <w:pPr>
        <w:pStyle w:val="Heading1"/>
      </w:pPr>
      <w:bookmarkStart w:id="7" w:name="O_1186372"/>
      <w:bookmarkEnd w:id="7"/>
      <w:r w:rsidRPr="00143F09">
        <w:t>Unit Mapping Information</w:t>
      </w:r>
    </w:p>
    <w:p w:rsidR="00C35218" w:rsidP="00C35218">
      <w:pPr>
        <w:pStyle w:val="BodyText"/>
      </w:pPr>
      <w:r w:rsidRPr="00143F09">
        <w:t>Supersedes and equivalent to CPPHSA4019A Inform clients about thermal performance of residential bui</w:t>
      </w:r>
      <w:r w:rsidRPr="00143F09">
        <w:t>ldings.</w:t>
      </w:r>
    </w:p>
    <w:p w:rsidR="00000000" w:rsidRPr="00143F09" w:rsidP="00143F09">
      <w:pPr>
        <w:pStyle w:val="Heading1"/>
      </w:pPr>
      <w:bookmarkStart w:id="8" w:name="O_1186379"/>
      <w:bookmarkEnd w:id="8"/>
      <w:r w:rsidRPr="00143F09">
        <w:t>Links</w:t>
      </w:r>
    </w:p>
    <w:p w:rsidR="00000000" w:rsidRPr="00143F09" w:rsidP="00C35218">
      <w:pPr>
        <w:pStyle w:val="BodyText"/>
      </w:pPr>
      <w:r w:rsidRPr="00143F0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30D2B">
        <w:rPr>
          <w:rStyle w:val="Hyperlink"/>
        </w:rPr>
        <w:t>https://vetnet.gov.au/Pages/TrainingDocs.aspx?q=6f3f9672-30e8-4835-b348-205dfcf13d9b</w:t>
      </w:r>
      <w:r>
        <w:fldChar w:fldCharType="end"/>
      </w:r>
    </w:p>
    <w:p w:rsidR="00000000" w:rsidRPr="00143F09" w:rsidP="00C35218">
      <w:pPr>
        <w:pStyle w:val="BodyText"/>
        <w:sectPr w:rsidSect="00143F09">
          <w:headerReference w:type="default" r:id="rId10"/>
          <w:footerReference w:type="default" r:id="rId11"/>
          <w:pgSz w:w="11908" w:h="16833"/>
          <w:pgMar w:top="1702" w:right="1418" w:bottom="1702" w:left="1418" w:header="992" w:footer="992" w:gutter="0"/>
          <w:cols w:space="720"/>
          <w:noEndnote/>
          <w:docGrid w:linePitch="299"/>
        </w:sectPr>
      </w:pPr>
    </w:p>
    <w:p w:rsidR="00000000" w:rsidRPr="00143F09" w:rsidP="00143F09">
      <w:pPr>
        <w:pStyle w:val="SuperHeading"/>
      </w:pPr>
      <w:r w:rsidRPr="00143F09">
        <w:t>Assessment Requirements for CPPHES4002 Advise clients on thermal performance of residential buildings</w:t>
      </w:r>
    </w:p>
    <w:p w:rsidR="00000000" w:rsidRPr="00143F09" w:rsidP="00143F09">
      <w:pPr>
        <w:pStyle w:val="Heading1"/>
      </w:pPr>
      <w:bookmarkStart w:id="9" w:name="O_1186370"/>
      <w:bookmarkEnd w:id="9"/>
      <w:r w:rsidRPr="00143F09">
        <w:t>Modification History</w:t>
      </w:r>
    </w:p>
    <w:tbl>
      <w:tblPr>
        <w:tblW w:w="0" w:type="auto"/>
        <w:tblLayout w:type="fixed"/>
        <w:tblCellMar>
          <w:left w:w="62" w:type="dxa"/>
          <w:right w:w="62" w:type="dxa"/>
        </w:tblCellMar>
        <w:tblLook w:val="0000"/>
      </w:tblPr>
      <w:tblGrid>
        <w:gridCol w:w="1128"/>
        <w:gridCol w:w="7944"/>
      </w:tblGrid>
      <w:tr w:rsidTr="00143F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Release 2</w:t>
            </w:r>
          </w:p>
        </w:tc>
        <w:tc>
          <w:tcPr>
            <w:tcW w:w="7944" w:type="dxa"/>
            <w:tcBorders>
              <w:top w:val="nil"/>
              <w:left w:val="nil"/>
              <w:bottom w:val="nil"/>
              <w:right w:val="nil"/>
            </w:tcBorders>
            <w:tcMar>
              <w:top w:w="0" w:type="dxa"/>
              <w:left w:w="62" w:type="dxa"/>
              <w:bottom w:w="0" w:type="dxa"/>
              <w:right w:w="62" w:type="dxa"/>
            </w:tcMar>
          </w:tcPr>
          <w:p w:rsidR="00000000" w:rsidRPr="00143F09" w:rsidP="00143F09">
            <w:pPr>
              <w:pStyle w:val="BodyText"/>
            </w:pPr>
            <w:r w:rsidRPr="00143F09">
              <w:t>This version first released with CPP Property Services Training Package Release 14.0.</w:t>
            </w:r>
          </w:p>
          <w:p w:rsidR="00000000" w:rsidP="00143F09">
            <w:pPr>
              <w:pStyle w:val="BodyText"/>
              <w:rPr>
                <w:lang w:val="en-NZ"/>
              </w:rPr>
            </w:pPr>
            <w:r w:rsidRPr="00143F09">
              <w:t xml:space="preserve">Updated reference </w:t>
            </w:r>
            <w:r w:rsidRPr="00143F09">
              <w:t>to reflect correction in Modification History from CPC Property Services 5.0 to CPP Property Services 9.0.</w:t>
            </w:r>
          </w:p>
        </w:tc>
      </w:tr>
      <w:tr w:rsidTr="00143F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3F09">
            <w:pPr>
              <w:pStyle w:val="BodyText"/>
              <w:rPr>
                <w:lang w:val="en-NZ"/>
              </w:rPr>
            </w:pPr>
            <w:r w:rsidRPr="00143F09">
              <w:t>Release 1</w:t>
            </w:r>
          </w:p>
        </w:tc>
        <w:tc>
          <w:tcPr>
            <w:tcW w:w="7944" w:type="dxa"/>
            <w:tcBorders>
              <w:top w:val="nil"/>
              <w:left w:val="nil"/>
              <w:bottom w:val="nil"/>
              <w:right w:val="nil"/>
            </w:tcBorders>
            <w:tcMar>
              <w:top w:w="0" w:type="dxa"/>
              <w:left w:w="62" w:type="dxa"/>
              <w:bottom w:w="0" w:type="dxa"/>
              <w:right w:w="62" w:type="dxa"/>
            </w:tcMar>
          </w:tcPr>
          <w:p w:rsidR="00000000" w:rsidRPr="00143F09" w:rsidP="00143F09">
            <w:pPr>
              <w:pStyle w:val="BodyText"/>
            </w:pPr>
            <w:r w:rsidRPr="00143F09">
              <w:t>This version first released with CPC Property Services Training Package Release 5.0.</w:t>
            </w:r>
          </w:p>
          <w:p w:rsidR="00000000" w:rsidRPr="00143F09" w:rsidP="00143F09">
            <w:pPr>
              <w:pStyle w:val="BodyText"/>
            </w:pPr>
            <w:r w:rsidRPr="00143F09">
              <w:t>Supersedes and equivalent to CPPHSA4019A Inform clien</w:t>
            </w:r>
            <w:r w:rsidRPr="00143F09">
              <w:t>ts about thermal performance of residential buildings.  Updated to meet the Standards for Training Packages.</w:t>
            </w:r>
          </w:p>
        </w:tc>
      </w:tr>
    </w:tbl>
    <w:p w:rsidR="00000000" w:rsidRPr="00143F09" w:rsidP="00143F09">
      <w:pPr>
        <w:pStyle w:val="BodyText"/>
      </w:pPr>
    </w:p>
    <w:p w:rsidR="00000000" w:rsidRPr="00143F09" w:rsidP="00143F09">
      <w:pPr>
        <w:pStyle w:val="AllowPageBreak"/>
      </w:pPr>
    </w:p>
    <w:p w:rsidR="00000000" w:rsidRPr="00143F09" w:rsidP="00143F09">
      <w:pPr>
        <w:pStyle w:val="Heading1"/>
      </w:pPr>
      <w:bookmarkStart w:id="10" w:name="O_1186369"/>
      <w:bookmarkEnd w:id="10"/>
      <w:r w:rsidRPr="00143F09">
        <w:t>Performance Evidence</w:t>
      </w:r>
    </w:p>
    <w:p w:rsidR="00C35218" w:rsidP="00C35218">
      <w:pPr>
        <w:pStyle w:val="BodyText"/>
      </w:pPr>
      <w:r w:rsidRPr="00143F09">
        <w:t>To demonstrate competency, a candidate must meet the performance criteria of this unit by providing accurate oral and written advice to three different clients on the thermal performance of residential buildings involving three different building designs a</w:t>
      </w:r>
      <w:r w:rsidRPr="00143F09">
        <w:t>nd climate zones.</w:t>
      </w:r>
    </w:p>
    <w:p w:rsidR="00000000" w:rsidRPr="00143F09" w:rsidP="00143F09">
      <w:pPr>
        <w:pStyle w:val="Heading1"/>
      </w:pPr>
      <w:bookmarkStart w:id="11" w:name="O_1186368"/>
      <w:bookmarkEnd w:id="11"/>
      <w:r w:rsidRPr="00143F09">
        <w:t>Knowledge Evidence</w:t>
      </w:r>
    </w:p>
    <w:p w:rsidR="00000000" w:rsidRPr="00143F09" w:rsidP="00C35218">
      <w:pPr>
        <w:pStyle w:val="BodyText"/>
      </w:pPr>
      <w:r w:rsidRPr="00143F09">
        <w:t>To be competent in this unit, a candidate must demonstrate knowledge of:</w:t>
      </w:r>
    </w:p>
    <w:p w:rsidR="00000000" w:rsidRPr="00143F09" w:rsidP="00143F09">
      <w:pPr>
        <w:pStyle w:val="ListBullet"/>
      </w:pPr>
      <w:r w:rsidRPr="00143F09">
        <w:t>Australian climate zones, characteristics and data used in thermal performance assessments:</w:t>
      </w:r>
    </w:p>
    <w:p w:rsidR="00000000" w:rsidRPr="00143F09" w:rsidP="00143F09">
      <w:pPr>
        <w:pStyle w:val="ListBullet2"/>
      </w:pPr>
      <w:r w:rsidRPr="00143F09">
        <w:t>diurnal temperature range</w:t>
      </w:r>
    </w:p>
    <w:p w:rsidR="00000000" w:rsidRPr="00143F09" w:rsidP="00143F09">
      <w:pPr>
        <w:pStyle w:val="ListBullet2"/>
      </w:pPr>
      <w:r w:rsidRPr="00143F09">
        <w:t>humidi</w:t>
      </w:r>
      <w:r w:rsidRPr="00143F09">
        <w:t>ty</w:t>
      </w:r>
    </w:p>
    <w:p w:rsidR="00000000" w:rsidRPr="00143F09" w:rsidP="00143F09">
      <w:pPr>
        <w:pStyle w:val="ListBullet2"/>
      </w:pPr>
      <w:r w:rsidRPr="00143F09">
        <w:t>irradiance</w:t>
      </w:r>
    </w:p>
    <w:p w:rsidR="00000000" w:rsidRPr="00143F09" w:rsidP="00143F09">
      <w:pPr>
        <w:pStyle w:val="ListBullet2"/>
      </w:pPr>
      <w:r w:rsidRPr="00143F09">
        <w:t>minimum and maximum temperature</w:t>
      </w:r>
    </w:p>
    <w:p w:rsidR="00000000" w:rsidRPr="00143F09" w:rsidP="00143F09">
      <w:pPr>
        <w:pStyle w:val="ListBullet2"/>
      </w:pPr>
      <w:r w:rsidRPr="00143F09">
        <w:t>solar geometry</w:t>
      </w:r>
    </w:p>
    <w:p w:rsidR="00000000" w:rsidRPr="00143F09" w:rsidP="00143F09">
      <w:pPr>
        <w:pStyle w:val="ListBullet2"/>
      </w:pPr>
      <w:r w:rsidRPr="00143F09">
        <w:t>wind speed and direction</w:t>
      </w:r>
    </w:p>
    <w:p w:rsidR="00000000" w:rsidRPr="00143F09" w:rsidP="00143F09">
      <w:pPr>
        <w:pStyle w:val="ListBullet"/>
      </w:pPr>
      <w:r w:rsidRPr="00143F09">
        <w:t>building elements included in thermal performance assessments</w:t>
      </w:r>
    </w:p>
    <w:p w:rsidR="00000000" w:rsidRPr="00143F09" w:rsidP="00143F09">
      <w:pPr>
        <w:pStyle w:val="ListBullet"/>
      </w:pPr>
      <w:r w:rsidRPr="00143F09">
        <w:t>definition of thermal comfort:</w:t>
      </w:r>
    </w:p>
    <w:p w:rsidR="00000000" w:rsidRPr="00143F09" w:rsidP="00143F09">
      <w:pPr>
        <w:pStyle w:val="ListBullet2"/>
      </w:pPr>
      <w:r w:rsidRPr="00143F09">
        <w:t>factors influencing thermal comfort</w:t>
      </w:r>
    </w:p>
    <w:p w:rsidR="00000000" w:rsidRPr="00143F09" w:rsidP="00143F09">
      <w:pPr>
        <w:pStyle w:val="ListBullet2"/>
      </w:pPr>
      <w:r w:rsidRPr="00143F09">
        <w:t>models of thermal comfort</w:t>
      </w:r>
    </w:p>
    <w:p w:rsidR="00000000" w:rsidRPr="00143F09" w:rsidP="00143F09">
      <w:pPr>
        <w:pStyle w:val="ListBullet2"/>
      </w:pPr>
      <w:r w:rsidRPr="00143F09">
        <w:t>role of thermal comfort in building thermal performance assessments</w:t>
      </w:r>
    </w:p>
    <w:p w:rsidR="00000000" w:rsidRPr="00143F09" w:rsidP="00143F09">
      <w:pPr>
        <w:pStyle w:val="ListBullet2"/>
      </w:pPr>
      <w:r w:rsidRPr="00143F09">
        <w:t>thermal sensitivity of individuals</w:t>
      </w:r>
    </w:p>
    <w:p w:rsidR="00000000" w:rsidRPr="00143F09" w:rsidP="00143F09">
      <w:pPr>
        <w:pStyle w:val="ListBullet"/>
      </w:pPr>
      <w:r w:rsidRPr="00143F09">
        <w:t>environmental and social impacts of energy use:</w:t>
      </w:r>
    </w:p>
    <w:p w:rsidR="00000000" w:rsidRPr="00143F09" w:rsidP="00143F09">
      <w:pPr>
        <w:pStyle w:val="ListBullet2"/>
      </w:pPr>
      <w:r w:rsidRPr="00143F09">
        <w:t>climate change</w:t>
      </w:r>
    </w:p>
    <w:p w:rsidR="00000000" w:rsidRPr="00143F09" w:rsidP="00143F09">
      <w:pPr>
        <w:pStyle w:val="ListBullet2"/>
      </w:pPr>
      <w:r w:rsidRPr="00143F09">
        <w:t>energy cost</w:t>
      </w:r>
    </w:p>
    <w:p w:rsidR="00000000" w:rsidRPr="00143F09" w:rsidP="00143F09">
      <w:pPr>
        <w:pStyle w:val="ListBullet2"/>
      </w:pPr>
      <w:r w:rsidRPr="00143F09">
        <w:t>energy security</w:t>
      </w:r>
    </w:p>
    <w:p w:rsidR="00000000" w:rsidRPr="00143F09" w:rsidP="00143F09">
      <w:pPr>
        <w:pStyle w:val="ListBullet2"/>
      </w:pPr>
      <w:r w:rsidRPr="00143F09">
        <w:t>global warming</w:t>
      </w:r>
    </w:p>
    <w:p w:rsidR="00000000" w:rsidRPr="00143F09" w:rsidP="00143F09">
      <w:pPr>
        <w:pStyle w:val="ListBullet2"/>
      </w:pPr>
      <w:r w:rsidRPr="00143F09">
        <w:t>greenhouse gas emissions</w:t>
      </w:r>
    </w:p>
    <w:p w:rsidR="00000000" w:rsidRPr="00143F09" w:rsidP="00143F09">
      <w:pPr>
        <w:pStyle w:val="ListBullet2"/>
      </w:pPr>
      <w:r w:rsidRPr="00143F09">
        <w:t>operational costs</w:t>
      </w:r>
    </w:p>
    <w:p w:rsidR="00000000" w:rsidRPr="00143F09" w:rsidP="00143F09">
      <w:pPr>
        <w:pStyle w:val="ListBullet2"/>
      </w:pPr>
      <w:r w:rsidRPr="00143F09">
        <w:t>resource depletion</w:t>
      </w:r>
    </w:p>
    <w:p w:rsidR="00000000" w:rsidRPr="00143F09" w:rsidP="00143F09">
      <w:pPr>
        <w:pStyle w:val="ListBullet"/>
      </w:pPr>
      <w:r w:rsidRPr="00143F09">
        <w:t>impact of climate on thermal performance of residential buildings</w:t>
      </w:r>
    </w:p>
    <w:p w:rsidR="00000000" w:rsidRPr="00143F09" w:rsidP="00143F09">
      <w:pPr>
        <w:pStyle w:val="ListBullet"/>
      </w:pPr>
      <w:r w:rsidRPr="00143F09">
        <w:t>industry terminology for energy use associated with thermal performance of buildings</w:t>
      </w:r>
    </w:p>
    <w:p w:rsidR="00000000" w:rsidRPr="00143F09" w:rsidP="00143F09">
      <w:pPr>
        <w:pStyle w:val="ListBullet"/>
      </w:pPr>
      <w:r w:rsidRPr="00143F09">
        <w:t>passive building design principles</w:t>
      </w:r>
    </w:p>
    <w:p w:rsidR="00000000" w:rsidRPr="00143F09" w:rsidP="00143F09">
      <w:pPr>
        <w:pStyle w:val="ListBullet"/>
      </w:pPr>
      <w:r w:rsidRPr="00143F09">
        <w:t>process of heat transfer in residential buildings:</w:t>
      </w:r>
    </w:p>
    <w:p w:rsidR="00000000" w:rsidRPr="00143F09" w:rsidP="00143F09">
      <w:pPr>
        <w:pStyle w:val="ListBullet2"/>
      </w:pPr>
      <w:r w:rsidRPr="00143F09">
        <w:t>key terms used to describe heat transfer</w:t>
      </w:r>
    </w:p>
    <w:p w:rsidR="00000000" w:rsidRPr="00143F09" w:rsidP="00143F09">
      <w:pPr>
        <w:pStyle w:val="ListBullet2"/>
      </w:pPr>
      <w:r w:rsidRPr="00143F09">
        <w:t>impact on heating and cooling</w:t>
      </w:r>
    </w:p>
    <w:p w:rsidR="00000000" w:rsidRPr="00143F09" w:rsidP="00143F09">
      <w:pPr>
        <w:pStyle w:val="ListBullet2"/>
      </w:pPr>
      <w:r w:rsidRPr="00143F09">
        <w:t>mechanisms:  radiation, convection and conduction</w:t>
      </w:r>
    </w:p>
    <w:p w:rsidR="00000000" w:rsidRPr="00143F09" w:rsidP="00143F09">
      <w:pPr>
        <w:pStyle w:val="ListBullet2"/>
      </w:pPr>
      <w:r w:rsidRPr="00143F09">
        <w:t>modelling</w:t>
      </w:r>
    </w:p>
    <w:p w:rsidR="00000000" w:rsidRPr="00143F09" w:rsidP="00143F09">
      <w:pPr>
        <w:pStyle w:val="ListBullet2"/>
      </w:pPr>
      <w:r w:rsidRPr="00143F09">
        <w:t>U and R-values of building materials</w:t>
      </w:r>
    </w:p>
    <w:p w:rsidR="00000000" w:rsidRPr="00143F09" w:rsidP="00143F09">
      <w:pPr>
        <w:pStyle w:val="ListBullet2"/>
      </w:pPr>
      <w:r w:rsidRPr="00143F09">
        <w:t>R-values of wall constructions</w:t>
      </w:r>
    </w:p>
    <w:p w:rsidR="00000000" w:rsidRPr="00143F09" w:rsidP="00143F09">
      <w:pPr>
        <w:pStyle w:val="ListBullet"/>
      </w:pPr>
      <w:r w:rsidRPr="00143F09">
        <w:t>principles of thermal performance:</w:t>
      </w:r>
    </w:p>
    <w:p w:rsidR="00000000" w:rsidRPr="00143F09" w:rsidP="00143F09">
      <w:pPr>
        <w:pStyle w:val="ListBullet2"/>
      </w:pPr>
      <w:r w:rsidRPr="00143F09">
        <w:t>factors that dimin</w:t>
      </w:r>
      <w:r w:rsidRPr="00143F09">
        <w:t>ish and enhance the thermal performance of residential buildings</w:t>
      </w:r>
    </w:p>
    <w:p w:rsidR="00000000" w:rsidRPr="00143F09" w:rsidP="00143F09">
      <w:pPr>
        <w:pStyle w:val="ListBullet2"/>
      </w:pPr>
      <w:r w:rsidRPr="00143F09">
        <w:t>impact of local climatic conditions on building thermal performance</w:t>
      </w:r>
    </w:p>
    <w:p w:rsidR="00000000" w:rsidRPr="00143F09" w:rsidP="00143F09">
      <w:pPr>
        <w:pStyle w:val="ListBullet2"/>
      </w:pPr>
      <w:r w:rsidRPr="00143F09">
        <w:t>relationship between building thermal performance, heating and cooling and energy consumption.</w:t>
      </w:r>
    </w:p>
    <w:p w:rsidR="00000000" w:rsidRPr="00143F09" w:rsidP="00143F09">
      <w:pPr>
        <w:pStyle w:val="AllowPageBreak"/>
      </w:pPr>
    </w:p>
    <w:p w:rsidR="00000000" w:rsidRPr="00143F09" w:rsidP="00143F09">
      <w:pPr>
        <w:pStyle w:val="Heading1"/>
      </w:pPr>
      <w:bookmarkStart w:id="12" w:name="O_1186367"/>
      <w:bookmarkEnd w:id="12"/>
      <w:r w:rsidRPr="00143F09">
        <w:t>Assessment Conditions</w:t>
      </w:r>
    </w:p>
    <w:p w:rsidR="00000000" w:rsidRPr="00143F09" w:rsidP="00C35218">
      <w:pPr>
        <w:pStyle w:val="BodyText"/>
      </w:pPr>
      <w:r w:rsidRPr="00143F09">
        <w:t>Assessors must meet the requirements for assessors contained in the Standards for Registered Training Organisations.</w:t>
      </w:r>
    </w:p>
    <w:p w:rsidR="00000000" w:rsidRPr="00143F09" w:rsidP="00C35218">
      <w:pPr>
        <w:pStyle w:val="BodyText"/>
      </w:pPr>
      <w:r w:rsidRPr="00143F09">
        <w:t>This unit must be assessed in the workplace or a close simulation using realistic workplace conditions, materials, ac</w:t>
      </w:r>
      <w:r w:rsidRPr="00143F09">
        <w:t xml:space="preserve">tivities, responsibilities, procedures, safety requirements and environmental considerations. </w:t>
      </w:r>
    </w:p>
    <w:p w:rsidR="00000000" w:rsidRPr="00143F09" w:rsidP="00C35218">
      <w:pPr>
        <w:pStyle w:val="BodyText"/>
      </w:pPr>
      <w:r w:rsidRPr="00143F09">
        <w:t>Candidates must have access to:</w:t>
      </w:r>
    </w:p>
    <w:p w:rsidR="00000000" w:rsidRPr="00143F09" w:rsidP="00143F09">
      <w:pPr>
        <w:pStyle w:val="ListBullet"/>
      </w:pPr>
      <w:r w:rsidRPr="00143F09">
        <w:t>relevant codes, standards and regulations associated with building thermal performance assessments</w:t>
      </w:r>
    </w:p>
    <w:p w:rsidR="00000000" w:rsidRPr="00143F09" w:rsidP="00143F09">
      <w:pPr>
        <w:pStyle w:val="ListBullet"/>
      </w:pPr>
      <w:r w:rsidRPr="00143F09">
        <w:t>computer equipment and softwa</w:t>
      </w:r>
      <w:r w:rsidRPr="00143F09">
        <w:t>re suitable for sourcing and transmitting information on the thermal performance of buildings to allow achievement of the performance evidence</w:t>
      </w:r>
    </w:p>
    <w:p w:rsidR="00000000" w:rsidRPr="00143F09" w:rsidP="00143F09">
      <w:pPr>
        <w:pStyle w:val="ListBullet"/>
      </w:pPr>
      <w:r w:rsidRPr="00143F09">
        <w:t>technical reference library and/or (online) access to current technical publications on:</w:t>
      </w:r>
    </w:p>
    <w:p w:rsidR="00000000" w:rsidRPr="00143F09" w:rsidP="00143F09">
      <w:pPr>
        <w:pStyle w:val="ListBullet2"/>
      </w:pPr>
      <w:r w:rsidRPr="00143F09">
        <w:t>passive building design</w:t>
      </w:r>
    </w:p>
    <w:p w:rsidR="00000000" w:rsidRPr="00143F09" w:rsidP="00143F09">
      <w:pPr>
        <w:pStyle w:val="ListBullet2"/>
      </w:pPr>
      <w:r w:rsidRPr="00143F09">
        <w:t>thermal performance of building materials</w:t>
      </w:r>
    </w:p>
    <w:p w:rsidR="00000000" w:rsidRPr="00143F09" w:rsidP="00143F09">
      <w:pPr>
        <w:pStyle w:val="ListBullet2"/>
      </w:pPr>
      <w:r w:rsidRPr="00143F09">
        <w:t>building thermal performance</w:t>
      </w:r>
    </w:p>
    <w:p w:rsidR="00000000" w:rsidRPr="00143F09" w:rsidP="00143F09">
      <w:pPr>
        <w:pStyle w:val="ListBullet2"/>
      </w:pPr>
      <w:r w:rsidRPr="00143F09">
        <w:t>manufacturers’ product information on building products and materials.</w:t>
      </w:r>
    </w:p>
    <w:p w:rsidR="00000000" w:rsidRPr="00143F09" w:rsidP="00143F09">
      <w:pPr>
        <w:pStyle w:val="AllowPageBreak"/>
      </w:pPr>
    </w:p>
    <w:p w:rsidR="00000000" w:rsidRPr="00143F09" w:rsidP="00143F09">
      <w:pPr>
        <w:pStyle w:val="Heading1"/>
      </w:pPr>
      <w:bookmarkStart w:id="13" w:name="O_1186380"/>
      <w:bookmarkEnd w:id="13"/>
      <w:r w:rsidRPr="00143F09">
        <w:t>Links</w:t>
      </w:r>
    </w:p>
    <w:p w:rsidR="00000000" w:rsidRPr="00143F09" w:rsidP="00C35218">
      <w:pPr>
        <w:pStyle w:val="BodyText"/>
      </w:pPr>
      <w:r w:rsidRPr="00143F0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30D2B">
        <w:rPr>
          <w:rStyle w:val="Hyperlink"/>
        </w:rPr>
        <w:t>https://vetnet.gov.au/Pages/TrainingDocs.aspx?q=6f3f9672-30e8-4835-b348-205dfcf13d9b</w:t>
      </w:r>
      <w:r>
        <w:fldChar w:fldCharType="end"/>
      </w:r>
    </w:p>
    <w:p w:rsidR="00000000" w:rsidRPr="00143F09" w:rsidP="00143F09"/>
    <w:sectPr w:rsidSect="00143F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rsidRPr="00C35218" w:rsidP="00C35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18" w:rsidP="00143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218" w:rsidP="00143F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35218" w:rsidP="00143F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rsidP="00143F09">
    <w:pPr>
      <w:pStyle w:val="Footer"/>
      <w:framePr w:wrap="around"/>
    </w:pPr>
    <w:r>
      <w:fldChar w:fldCharType="begin"/>
    </w:r>
    <w:r>
      <w:instrText xml:space="preserve"> DOCPROPERTY  Subject  \* MERGEFORMAT </w:instrText>
    </w:r>
    <w:r>
      <w:fldChar w:fldCharType="separate"/>
    </w:r>
    <w:r w:rsidR="00C35218">
      <w:t>Approved</w:t>
    </w:r>
    <w:r w:rsidR="00C35218">
      <w:fldChar w:fldCharType="end"/>
    </w:r>
    <w:r>
      <w:tab/>
      <w:t xml:space="preserve">Page </w:t>
    </w:r>
    <w:r>
      <w:fldChar w:fldCharType="begin"/>
    </w:r>
    <w:r>
      <w:instrText xml:space="preserve"> PAGE  \* Arabic  \* MERGEFORMAT </w:instrText>
    </w:r>
    <w:r>
      <w:fldChar w:fldCharType="separate"/>
    </w:r>
    <w:r w:rsidR="00C352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218">
      <w:rPr>
        <w:noProof/>
      </w:rPr>
      <w:t>4</w:t>
    </w:r>
    <w:r>
      <w:rPr>
        <w:noProof/>
      </w:rPr>
      <w:fldChar w:fldCharType="end"/>
    </w:r>
  </w:p>
  <w:p w:rsidR="00143F09" w:rsidP="00143F09">
    <w:pPr>
      <w:pStyle w:val="Footer"/>
      <w:framePr w:wrap="around"/>
    </w:pPr>
    <w:r>
      <w:t xml:space="preserve">© Commonwealth of Australia, </w:t>
    </w:r>
    <w:r>
      <w:fldChar w:fldCharType="begin"/>
    </w:r>
    <w:r>
      <w:instrText xml:space="preserve"> DATE  \@ "yyyy"  \* MERGEFORMAT </w:instrText>
    </w:r>
    <w:r>
      <w:fldChar w:fldCharType="separate"/>
    </w:r>
    <w:r w:rsidR="00C35218">
      <w:rPr>
        <w:noProof/>
      </w:rPr>
      <w:t>2025</w:t>
    </w:r>
    <w:r>
      <w:fldChar w:fldCharType="end"/>
    </w:r>
    <w:r>
      <w:tab/>
    </w:r>
    <w:r>
      <w:fldChar w:fldCharType="begin"/>
    </w:r>
    <w:r>
      <w:instrText xml:space="preserve"> DOCPROPERTY  Author  \* MERGEFORMAT </w:instrText>
    </w:r>
    <w:r>
      <w:fldChar w:fldCharType="separate"/>
    </w:r>
    <w:r w:rsidR="00C35218">
      <w:t>BuildSkills Australia</w:t>
    </w:r>
    <w:r w:rsidR="00C35218">
      <w:fldChar w:fldCharType="end"/>
    </w:r>
  </w:p>
  <w:p w:rsidR="00143F09" w:rsidP="00143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F09" w:rsidRPr="00C35218" w:rsidP="00C35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18" w:rsidRPr="002D2AF8" w:rsidP="00143F09">
    <w:pPr>
      <w:pStyle w:val="Header"/>
      <w:framePr w:wrap="around"/>
    </w:pPr>
    <w:r>
      <w:fldChar w:fldCharType="begin"/>
    </w:r>
    <w:r>
      <w:instrText xml:space="preserve"> TITLE   \* MERGEFORMAT </w:instrText>
    </w:r>
    <w:r>
      <w:fldChar w:fldCharType="separate"/>
    </w:r>
    <w:r>
      <w:t>CPPHES4002 Advise clients on thermal performance of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5218" w:rsidP="00143F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09" w:rsidRPr="002D2AF8" w:rsidP="00143F09">
    <w:pPr>
      <w:pStyle w:val="Header"/>
      <w:framePr w:wrap="around"/>
    </w:pPr>
    <w:r>
      <w:fldChar w:fldCharType="begin"/>
    </w:r>
    <w:r>
      <w:instrText xml:space="preserve"> TITLE   \* MERGEFORMAT </w:instrText>
    </w:r>
    <w:r>
      <w:fldChar w:fldCharType="separate"/>
    </w:r>
    <w:r w:rsidR="00C35218">
      <w:t>CPPHES4002 Advise clients on thermal performance of residential buildings</w:t>
    </w:r>
    <w:r w:rsidR="00C35218">
      <w:fldChar w:fldCharType="end"/>
    </w:r>
    <w:r>
      <w:tab/>
      <w:t xml:space="preserve">Date this document was generated: </w:t>
    </w:r>
    <w:r>
      <w:fldChar w:fldCharType="begin"/>
    </w:r>
    <w:r>
      <w:instrText xml:space="preserve"> CREATEDATE  \@ "d MMMM yyyy"  \* MERGEFORMAT </w:instrText>
    </w:r>
    <w:r>
      <w:fldChar w:fldCharType="separate"/>
    </w:r>
    <w:r w:rsidR="00C35218">
      <w:rPr>
        <w:noProof/>
      </w:rPr>
      <w:t>2 March 2025</w:t>
    </w:r>
    <w:r>
      <w:fldChar w:fldCharType="end"/>
    </w:r>
  </w:p>
  <w:p w:rsidR="00143F09" w:rsidP="00143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AD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83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82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F09"/>
    <w:pPr>
      <w:spacing w:before="360" w:after="60"/>
      <w:outlineLvl w:val="0"/>
    </w:pPr>
    <w:rPr>
      <w:sz w:val="32"/>
    </w:rPr>
  </w:style>
  <w:style w:type="paragraph" w:styleId="Heading2">
    <w:name w:val="heading 2"/>
    <w:basedOn w:val="HeadingBase"/>
    <w:next w:val="BodyText"/>
    <w:link w:val="Heading2Char"/>
    <w:qFormat/>
    <w:rsid w:val="00143F09"/>
    <w:pPr>
      <w:keepLines/>
      <w:spacing w:before="240" w:after="120"/>
      <w:outlineLvl w:val="1"/>
    </w:pPr>
    <w:rPr>
      <w:sz w:val="28"/>
      <w:szCs w:val="40"/>
    </w:rPr>
  </w:style>
  <w:style w:type="paragraph" w:styleId="Heading3">
    <w:name w:val="heading 3"/>
    <w:basedOn w:val="HeadingBase"/>
    <w:next w:val="BodyText"/>
    <w:link w:val="Heading3Char"/>
    <w:qFormat/>
    <w:rsid w:val="00143F09"/>
    <w:pPr>
      <w:spacing w:before="180" w:after="120"/>
      <w:outlineLvl w:val="2"/>
    </w:pPr>
    <w:rPr>
      <w:spacing w:val="-10"/>
      <w:kern w:val="32"/>
    </w:rPr>
  </w:style>
  <w:style w:type="paragraph" w:styleId="Heading4">
    <w:name w:val="heading 4"/>
    <w:basedOn w:val="HeadingBase"/>
    <w:next w:val="BodyText"/>
    <w:link w:val="Heading4Char"/>
    <w:qFormat/>
    <w:rsid w:val="00143F09"/>
    <w:pPr>
      <w:spacing w:before="160" w:after="120"/>
      <w:outlineLvl w:val="3"/>
    </w:pPr>
    <w:rPr>
      <w:sz w:val="22"/>
    </w:rPr>
  </w:style>
  <w:style w:type="paragraph" w:styleId="Heading5">
    <w:name w:val="heading 5"/>
    <w:basedOn w:val="HeadingBase"/>
    <w:next w:val="Normal"/>
    <w:link w:val="Heading5Char"/>
    <w:qFormat/>
    <w:rsid w:val="00143F09"/>
    <w:pPr>
      <w:spacing w:before="80"/>
      <w:outlineLvl w:val="4"/>
    </w:pPr>
    <w:rPr>
      <w:color w:val="918585"/>
      <w:sz w:val="20"/>
    </w:rPr>
  </w:style>
  <w:style w:type="paragraph" w:styleId="Heading6">
    <w:name w:val="heading 6"/>
    <w:basedOn w:val="HeadingBase"/>
    <w:next w:val="Normal"/>
    <w:link w:val="Heading6Char"/>
    <w:qFormat/>
    <w:rsid w:val="00143F09"/>
    <w:pPr>
      <w:spacing w:before="60"/>
      <w:outlineLvl w:val="5"/>
    </w:pPr>
    <w:rPr>
      <w:color w:val="918585"/>
      <w:sz w:val="20"/>
    </w:rPr>
  </w:style>
  <w:style w:type="paragraph" w:styleId="Heading7">
    <w:name w:val="heading 7"/>
    <w:basedOn w:val="Normal"/>
    <w:next w:val="Normal"/>
    <w:link w:val="Heading7Char"/>
    <w:qFormat/>
    <w:rsid w:val="00143F09"/>
    <w:pPr>
      <w:ind w:left="720"/>
      <w:outlineLvl w:val="6"/>
    </w:pPr>
    <w:rPr>
      <w:i/>
    </w:rPr>
  </w:style>
  <w:style w:type="paragraph" w:styleId="Heading8">
    <w:name w:val="heading 8"/>
    <w:basedOn w:val="Normal"/>
    <w:next w:val="Normal"/>
    <w:link w:val="Heading8Char"/>
    <w:qFormat/>
    <w:rsid w:val="00143F09"/>
    <w:pPr>
      <w:ind w:left="720"/>
      <w:outlineLvl w:val="7"/>
    </w:pPr>
    <w:rPr>
      <w:i/>
    </w:rPr>
  </w:style>
  <w:style w:type="paragraph" w:styleId="Heading9">
    <w:name w:val="heading 9"/>
    <w:basedOn w:val="Normal"/>
    <w:next w:val="Normal"/>
    <w:link w:val="Heading9Char"/>
    <w:qFormat/>
    <w:rsid w:val="00143F09"/>
    <w:pPr>
      <w:ind w:left="720"/>
      <w:outlineLvl w:val="8"/>
    </w:pPr>
    <w:rPr>
      <w:i/>
    </w:rPr>
  </w:style>
  <w:style w:type="character" w:default="1" w:styleId="DefaultParagraphFont">
    <w:name w:val="Default Paragraph Font"/>
    <w:uiPriority w:val="1"/>
    <w:unhideWhenUsed/>
    <w:rsid w:val="00143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F09"/>
  </w:style>
  <w:style w:type="character" w:customStyle="1" w:styleId="Heading1Char">
    <w:name w:val="Heading 1 Char"/>
    <w:basedOn w:val="DefaultParagraphFont"/>
    <w:link w:val="Heading1"/>
    <w:rsid w:val="00143F09"/>
    <w:rPr>
      <w:rFonts w:ascii="Times New Roman" w:eastAsia="Times New Roman" w:hAnsi="Times New Roman" w:cs="Times New Roman"/>
      <w:b/>
      <w:sz w:val="32"/>
      <w:szCs w:val="20"/>
      <w:lang w:eastAsia="en-US"/>
    </w:rPr>
  </w:style>
  <w:style w:type="paragraph" w:styleId="BodyText">
    <w:name w:val="Body Text"/>
    <w:basedOn w:val="Normal"/>
    <w:link w:val="BodyTextChar"/>
    <w:rsid w:val="00143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F09"/>
    <w:rPr>
      <w:rFonts w:ascii="Times New Roman" w:eastAsia="Times New Roman" w:hAnsi="Times New Roman" w:cs="Times New Roman"/>
      <w:sz w:val="24"/>
      <w:lang w:eastAsia="en-US"/>
    </w:rPr>
  </w:style>
  <w:style w:type="paragraph" w:styleId="ListBullet">
    <w:name w:val="List Bullet"/>
    <w:basedOn w:val="List"/>
    <w:rsid w:val="00143F09"/>
    <w:pPr>
      <w:numPr>
        <w:numId w:val="12"/>
      </w:numPr>
      <w:tabs>
        <w:tab w:val="clear" w:pos="340"/>
      </w:tabs>
      <w:spacing w:before="40" w:after="40"/>
    </w:pPr>
  </w:style>
  <w:style w:type="paragraph" w:styleId="ListBullet2">
    <w:name w:val="List Bullet 2"/>
    <w:basedOn w:val="List2"/>
    <w:rsid w:val="00143F09"/>
    <w:pPr>
      <w:numPr>
        <w:numId w:val="13"/>
      </w:numPr>
      <w:tabs>
        <w:tab w:val="clear" w:pos="680"/>
      </w:tabs>
    </w:pPr>
  </w:style>
  <w:style w:type="paragraph" w:customStyle="1" w:styleId="SuperHeading">
    <w:name w:val="SuperHeading"/>
    <w:basedOn w:val="Normal"/>
    <w:rsid w:val="00143F09"/>
    <w:pPr>
      <w:spacing w:before="240" w:after="120"/>
      <w:outlineLvl w:val="0"/>
    </w:pPr>
    <w:rPr>
      <w:rFonts w:ascii="Times New Roman" w:hAnsi="Times New Roman"/>
      <w:b/>
      <w:sz w:val="32"/>
    </w:rPr>
  </w:style>
  <w:style w:type="paragraph" w:customStyle="1" w:styleId="AllowPageBreak">
    <w:name w:val="AllowPageBreak"/>
    <w:rsid w:val="00143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F09"/>
    <w:rPr>
      <w:rFonts w:ascii="Courier New" w:eastAsia="Times New Roman" w:hAnsi="Courier New" w:cs="Times New Roman"/>
      <w:i/>
      <w:szCs w:val="20"/>
      <w:lang w:eastAsia="en-US"/>
    </w:rPr>
  </w:style>
  <w:style w:type="paragraph" w:customStyle="1" w:styleId="HeadingBase">
    <w:name w:val="Heading Base"/>
    <w:rsid w:val="00143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F09"/>
    <w:pPr>
      <w:tabs>
        <w:tab w:val="right" w:leader="dot" w:pos="9072"/>
      </w:tabs>
      <w:ind w:left="567"/>
    </w:pPr>
    <w:rPr>
      <w:szCs w:val="22"/>
    </w:rPr>
  </w:style>
  <w:style w:type="paragraph" w:customStyle="1" w:styleId="TOCBase">
    <w:name w:val="TOC Base"/>
    <w:rsid w:val="00143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F09"/>
    <w:pPr>
      <w:tabs>
        <w:tab w:val="right" w:leader="dot" w:pos="9072"/>
      </w:tabs>
      <w:spacing w:before="40" w:after="40"/>
      <w:ind w:left="284"/>
    </w:pPr>
    <w:rPr>
      <w:rFonts w:ascii="Times New Roman" w:hAnsi="Times New Roman"/>
    </w:rPr>
  </w:style>
  <w:style w:type="paragraph" w:styleId="TOC1">
    <w:name w:val="toc 1"/>
    <w:basedOn w:val="TOCBase"/>
    <w:next w:val="Normal"/>
    <w:rsid w:val="00143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F09"/>
    <w:rPr>
      <w:rFonts w:ascii="Times New Roman" w:eastAsia="Times New Roman" w:hAnsi="Times New Roman" w:cs="Times New Roman"/>
      <w:sz w:val="16"/>
      <w:lang w:eastAsia="en-US"/>
    </w:rPr>
  </w:style>
  <w:style w:type="paragraph" w:styleId="Title">
    <w:name w:val="Title"/>
    <w:basedOn w:val="HeadingBase"/>
    <w:link w:val="TitleChar"/>
    <w:qFormat/>
    <w:rsid w:val="00143F09"/>
    <w:pPr>
      <w:spacing w:before="5040"/>
      <w:jc w:val="center"/>
    </w:pPr>
    <w:rPr>
      <w:sz w:val="48"/>
      <w:szCs w:val="72"/>
      <w:lang w:val="en-US"/>
    </w:rPr>
  </w:style>
  <w:style w:type="character" w:customStyle="1" w:styleId="TitleChar">
    <w:name w:val="Title Char"/>
    <w:basedOn w:val="DefaultParagraphFont"/>
    <w:link w:val="Title"/>
    <w:rsid w:val="00143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F09"/>
    <w:pPr>
      <w:tabs>
        <w:tab w:val="left" w:pos="3600"/>
        <w:tab w:val="left" w:pos="3958"/>
      </w:tabs>
    </w:pPr>
  </w:style>
  <w:style w:type="paragraph" w:styleId="List">
    <w:name w:val="List"/>
    <w:basedOn w:val="BodyText"/>
    <w:next w:val="BodyText"/>
    <w:rsid w:val="00143F09"/>
    <w:pPr>
      <w:tabs>
        <w:tab w:val="left" w:pos="340"/>
      </w:tabs>
      <w:spacing w:before="60" w:after="60"/>
      <w:ind w:left="340" w:hanging="340"/>
    </w:pPr>
  </w:style>
  <w:style w:type="paragraph" w:customStyle="1" w:styleId="Note">
    <w:name w:val="Note"/>
    <w:basedOn w:val="BodyText"/>
    <w:rsid w:val="00143F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F09"/>
    <w:rPr>
      <w:b/>
      <w:spacing w:val="0"/>
    </w:rPr>
  </w:style>
  <w:style w:type="paragraph" w:customStyle="1" w:styleId="SuperTitle">
    <w:name w:val="SuperTitle"/>
    <w:basedOn w:val="Title"/>
    <w:rsid w:val="00143F09"/>
    <w:pPr>
      <w:framePr w:wrap="auto" w:hAnchor="text" w:y="6049"/>
    </w:pPr>
    <w:rPr>
      <w:color w:val="000000"/>
      <w:sz w:val="40"/>
    </w:rPr>
  </w:style>
  <w:style w:type="paragraph" w:customStyle="1" w:styleId="TOCTitle">
    <w:name w:val="TOCTitle"/>
    <w:basedOn w:val="Heading1"/>
    <w:rsid w:val="00143F09"/>
    <w:pPr>
      <w:spacing w:after="240"/>
      <w:jc w:val="center"/>
      <w:outlineLvl w:val="9"/>
    </w:pPr>
    <w:rPr>
      <w:caps/>
    </w:rPr>
  </w:style>
  <w:style w:type="paragraph" w:customStyle="1" w:styleId="Version">
    <w:name w:val="Version"/>
    <w:rsid w:val="00143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F09"/>
    <w:pPr>
      <w:keepNext w:val="0"/>
      <w:tabs>
        <w:tab w:val="right" w:pos="4176"/>
      </w:tabs>
      <w:ind w:left="198" w:hanging="198"/>
    </w:pPr>
    <w:rPr>
      <w:rFonts w:ascii="Garamond" w:hAnsi="Garamond"/>
    </w:rPr>
  </w:style>
  <w:style w:type="paragraph" w:styleId="IndexHeading">
    <w:name w:val="index heading"/>
    <w:basedOn w:val="Normal"/>
    <w:next w:val="Index1"/>
    <w:semiHidden/>
    <w:rsid w:val="00143F09"/>
    <w:pPr>
      <w:spacing w:before="120" w:after="120"/>
    </w:pPr>
    <w:rPr>
      <w:rFonts w:ascii="Arial" w:hAnsi="Arial"/>
      <w:b/>
      <w:color w:val="918585"/>
      <w:sz w:val="24"/>
    </w:rPr>
  </w:style>
  <w:style w:type="paragraph" w:styleId="Header">
    <w:name w:val="header"/>
    <w:basedOn w:val="Normal"/>
    <w:link w:val="HeaderChar"/>
    <w:rsid w:val="00143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F09"/>
    <w:rPr>
      <w:rFonts w:ascii="Times New Roman" w:eastAsia="Times New Roman" w:hAnsi="Times New Roman" w:cs="Times New Roman"/>
      <w:sz w:val="16"/>
      <w:szCs w:val="20"/>
      <w:lang w:val="en-GB" w:eastAsia="en-US"/>
    </w:rPr>
  </w:style>
  <w:style w:type="paragraph" w:customStyle="1" w:styleId="Chapter">
    <w:name w:val="Chapter"/>
    <w:basedOn w:val="Normal"/>
    <w:rsid w:val="00143F09"/>
    <w:pPr>
      <w:spacing w:before="240"/>
    </w:pPr>
    <w:rPr>
      <w:rFonts w:ascii="Times New Roman" w:hAnsi="Times New Roman"/>
      <w:smallCaps/>
      <w:spacing w:val="80"/>
      <w:sz w:val="28"/>
    </w:rPr>
  </w:style>
  <w:style w:type="paragraph" w:customStyle="1" w:styleId="InChapter">
    <w:name w:val="InChapter"/>
    <w:basedOn w:val="Heading3"/>
    <w:rsid w:val="00143F09"/>
    <w:pPr>
      <w:spacing w:after="240"/>
      <w:outlineLvl w:val="9"/>
    </w:pPr>
    <w:rPr>
      <w:noProof/>
    </w:rPr>
  </w:style>
  <w:style w:type="paragraph" w:styleId="Index2">
    <w:name w:val="index 2"/>
    <w:basedOn w:val="Normal"/>
    <w:next w:val="Normal"/>
    <w:semiHidden/>
    <w:rsid w:val="00143F09"/>
    <w:pPr>
      <w:tabs>
        <w:tab w:val="right" w:pos="4176"/>
      </w:tabs>
      <w:ind w:left="568" w:hanging="284"/>
    </w:pPr>
    <w:rPr>
      <w:rFonts w:ascii="Garamond" w:hAnsi="Garamond"/>
    </w:rPr>
  </w:style>
  <w:style w:type="paragraph" w:customStyle="1" w:styleId="Byline">
    <w:name w:val="Byline"/>
    <w:rsid w:val="00143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F09"/>
    <w:pPr>
      <w:tabs>
        <w:tab w:val="clear" w:pos="3600"/>
        <w:tab w:val="clear" w:pos="3958"/>
      </w:tabs>
      <w:jc w:val="right"/>
    </w:pPr>
  </w:style>
  <w:style w:type="character" w:styleId="Emphasis">
    <w:name w:val="Emphasis"/>
    <w:basedOn w:val="DefaultParagraphFont"/>
    <w:qFormat/>
    <w:rsid w:val="00143F09"/>
    <w:rPr>
      <w:i/>
    </w:rPr>
  </w:style>
  <w:style w:type="paragraph" w:styleId="Caption">
    <w:name w:val="caption"/>
    <w:basedOn w:val="BodyText"/>
    <w:next w:val="Normal"/>
    <w:qFormat/>
    <w:rsid w:val="00143F09"/>
    <w:pPr>
      <w:framePr w:w="2268" w:hSpace="181" w:vSpace="181" w:wrap="around" w:vAnchor="text" w:hAnchor="page" w:x="1135" w:y="285" w:anchorLock="1"/>
    </w:pPr>
    <w:rPr>
      <w:i/>
    </w:rPr>
  </w:style>
  <w:style w:type="paragraph" w:customStyle="1" w:styleId="MiniTOCTitle">
    <w:name w:val="MiniTOCTitle"/>
    <w:basedOn w:val="Heading4"/>
    <w:rsid w:val="00143F09"/>
    <w:pPr>
      <w:spacing w:before="240"/>
      <w:outlineLvl w:val="9"/>
    </w:pPr>
    <w:rPr>
      <w:noProof/>
      <w:sz w:val="24"/>
    </w:rPr>
  </w:style>
  <w:style w:type="paragraph" w:customStyle="1" w:styleId="MiniTOCItem">
    <w:name w:val="MiniTOCItem"/>
    <w:basedOn w:val="ListBullet"/>
    <w:rsid w:val="00143F09"/>
    <w:pPr>
      <w:numPr>
        <w:numId w:val="0"/>
      </w:numPr>
      <w:tabs>
        <w:tab w:val="right" w:leader="dot" w:pos="6521"/>
      </w:tabs>
      <w:spacing w:before="0" w:after="0"/>
    </w:pPr>
  </w:style>
  <w:style w:type="paragraph" w:customStyle="1" w:styleId="TOFTitle">
    <w:name w:val="TOFTitle"/>
    <w:basedOn w:val="TOCTitle"/>
    <w:rsid w:val="00143F09"/>
  </w:style>
  <w:style w:type="paragraph" w:styleId="TableofFigures">
    <w:name w:val="table of figures"/>
    <w:basedOn w:val="Normal"/>
    <w:next w:val="Normal"/>
    <w:semiHidden/>
    <w:rsid w:val="00143F09"/>
    <w:pPr>
      <w:tabs>
        <w:tab w:val="right" w:leader="dot" w:pos="9072"/>
      </w:tabs>
      <w:ind w:left="970" w:hanging="403"/>
    </w:pPr>
    <w:rPr>
      <w:rFonts w:ascii="Times New Roman" w:hAnsi="Times New Roman"/>
      <w:b/>
    </w:rPr>
  </w:style>
  <w:style w:type="paragraph" w:styleId="ListNumber">
    <w:name w:val="List Number"/>
    <w:basedOn w:val="List"/>
    <w:rsid w:val="00143F09"/>
    <w:pPr>
      <w:numPr>
        <w:numId w:val="15"/>
      </w:numPr>
      <w:tabs>
        <w:tab w:val="clear" w:pos="340"/>
      </w:tabs>
    </w:pPr>
  </w:style>
  <w:style w:type="character" w:customStyle="1" w:styleId="WingdingSymbols">
    <w:name w:val="Wingding Symbols"/>
    <w:rsid w:val="00143F09"/>
    <w:rPr>
      <w:rFonts w:ascii="Wingdings" w:hAnsi="Wingdings"/>
    </w:rPr>
  </w:style>
  <w:style w:type="paragraph" w:customStyle="1" w:styleId="TableHeading">
    <w:name w:val="Table Heading"/>
    <w:basedOn w:val="HeadingBase"/>
    <w:rsid w:val="00143F09"/>
    <w:pPr>
      <w:keepLines/>
      <w:pBdr>
        <w:bottom w:val="single" w:sz="6" w:space="1" w:color="918585"/>
      </w:pBdr>
      <w:spacing w:before="240"/>
    </w:pPr>
  </w:style>
  <w:style w:type="character" w:customStyle="1" w:styleId="HotSpot">
    <w:name w:val="HotSpot"/>
    <w:rsid w:val="00143F09"/>
    <w:rPr>
      <w:color w:val="0033CC"/>
      <w:u w:val="none"/>
    </w:rPr>
  </w:style>
  <w:style w:type="paragraph" w:customStyle="1" w:styleId="BodyTextRight">
    <w:name w:val="Body Text Right"/>
    <w:basedOn w:val="BodyText"/>
    <w:rsid w:val="00143F09"/>
    <w:pPr>
      <w:spacing w:before="0" w:after="0"/>
      <w:jc w:val="right"/>
    </w:pPr>
  </w:style>
  <w:style w:type="paragraph" w:styleId="Index3">
    <w:name w:val="index 3"/>
    <w:basedOn w:val="ListNumber2"/>
    <w:next w:val="Normal"/>
    <w:semiHidden/>
    <w:rsid w:val="00143F09"/>
    <w:pPr>
      <w:numPr>
        <w:numId w:val="0"/>
      </w:numPr>
      <w:tabs>
        <w:tab w:val="right" w:leader="dot" w:pos="4176"/>
      </w:tabs>
    </w:pPr>
  </w:style>
  <w:style w:type="paragraph" w:styleId="ListNumber2">
    <w:name w:val="List Number 2"/>
    <w:basedOn w:val="List2"/>
    <w:rsid w:val="00143F09"/>
    <w:pPr>
      <w:numPr>
        <w:numId w:val="10"/>
      </w:numPr>
      <w:tabs>
        <w:tab w:val="clear" w:pos="1060"/>
      </w:tabs>
    </w:pPr>
  </w:style>
  <w:style w:type="paragraph" w:customStyle="1" w:styleId="MarginNote">
    <w:name w:val="Margin Note"/>
    <w:basedOn w:val="BodyText"/>
    <w:rsid w:val="00143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F09"/>
    <w:rPr>
      <w:sz w:val="32"/>
    </w:rPr>
  </w:style>
  <w:style w:type="paragraph" w:customStyle="1" w:styleId="HeadingProcedure">
    <w:name w:val="Heading Procedure"/>
    <w:basedOn w:val="HeadingBase"/>
    <w:next w:val="Normal"/>
    <w:rsid w:val="00143F09"/>
    <w:pPr>
      <w:tabs>
        <w:tab w:val="left" w:pos="0"/>
      </w:tabs>
      <w:spacing w:before="120" w:after="60"/>
    </w:pPr>
    <w:rPr>
      <w:i/>
      <w:color w:val="918585"/>
      <w:sz w:val="22"/>
    </w:rPr>
  </w:style>
  <w:style w:type="paragraph" w:customStyle="1" w:styleId="TableBodyText">
    <w:name w:val="Table Body Text"/>
    <w:basedOn w:val="BodyText"/>
    <w:rsid w:val="00143F09"/>
    <w:pPr>
      <w:spacing w:before="60" w:after="60"/>
    </w:pPr>
  </w:style>
  <w:style w:type="paragraph" w:styleId="ListContinue">
    <w:name w:val="List Continue"/>
    <w:basedOn w:val="List"/>
    <w:rsid w:val="00143F09"/>
    <w:pPr>
      <w:ind w:firstLine="0"/>
    </w:pPr>
  </w:style>
  <w:style w:type="paragraph" w:customStyle="1" w:styleId="ListNote">
    <w:name w:val="List Note"/>
    <w:basedOn w:val="List"/>
    <w:rsid w:val="00143F09"/>
    <w:pPr>
      <w:pBdr>
        <w:top w:val="single" w:sz="6" w:space="2" w:color="918585"/>
        <w:bottom w:val="single" w:sz="6" w:space="2" w:color="918585"/>
      </w:pBdr>
      <w:tabs>
        <w:tab w:val="left" w:pos="1021"/>
      </w:tabs>
      <w:ind w:firstLine="0"/>
    </w:pPr>
  </w:style>
  <w:style w:type="paragraph" w:customStyle="1" w:styleId="Warning">
    <w:name w:val="Warning"/>
    <w:basedOn w:val="BodyText"/>
    <w:rsid w:val="00143F09"/>
    <w:pPr>
      <w:shd w:val="clear" w:color="auto" w:fill="D9D9D9"/>
      <w:tabs>
        <w:tab w:val="left" w:pos="992"/>
      </w:tabs>
      <w:ind w:left="119" w:right="119"/>
    </w:pPr>
    <w:rPr>
      <w:sz w:val="20"/>
    </w:rPr>
  </w:style>
  <w:style w:type="paragraph" w:customStyle="1" w:styleId="MarginIcons">
    <w:name w:val="Margin Icons"/>
    <w:basedOn w:val="BodyText"/>
    <w:rsid w:val="00143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F09"/>
    <w:rPr>
      <w:rFonts w:ascii="Courier New" w:hAnsi="Courier New"/>
    </w:rPr>
  </w:style>
  <w:style w:type="paragraph" w:customStyle="1" w:styleId="NoteBullet">
    <w:name w:val="Note Bullet"/>
    <w:basedOn w:val="Note"/>
    <w:rsid w:val="00143F09"/>
    <w:pPr>
      <w:tabs>
        <w:tab w:val="clear" w:pos="680"/>
      </w:tabs>
      <w:spacing w:before="60" w:after="60"/>
    </w:pPr>
  </w:style>
  <w:style w:type="paragraph" w:customStyle="1" w:styleId="SubHeading2">
    <w:name w:val="SubHeading2"/>
    <w:basedOn w:val="HeadingBase"/>
    <w:rsid w:val="00143F09"/>
    <w:pPr>
      <w:spacing w:before="240" w:after="60"/>
    </w:pPr>
    <w:rPr>
      <w:sz w:val="20"/>
    </w:rPr>
  </w:style>
  <w:style w:type="paragraph" w:customStyle="1" w:styleId="SubHeading1">
    <w:name w:val="SubHeading1"/>
    <w:basedOn w:val="HeadingBase"/>
    <w:rsid w:val="00143F09"/>
    <w:pPr>
      <w:spacing w:before="240" w:after="60"/>
    </w:pPr>
    <w:rPr>
      <w:color w:val="918585"/>
      <w:sz w:val="22"/>
    </w:rPr>
  </w:style>
  <w:style w:type="paragraph" w:customStyle="1" w:styleId="SideHeading">
    <w:name w:val="Side Heading"/>
    <w:basedOn w:val="HeadingBase"/>
    <w:rsid w:val="00143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F09"/>
    <w:pPr>
      <w:tabs>
        <w:tab w:val="num" w:pos="360"/>
      </w:tabs>
    </w:pPr>
  </w:style>
  <w:style w:type="paragraph" w:styleId="PlainText">
    <w:name w:val="Plain Text"/>
    <w:basedOn w:val="Normal"/>
    <w:link w:val="PlainTextChar"/>
    <w:rsid w:val="00143F09"/>
    <w:rPr>
      <w:sz w:val="20"/>
    </w:rPr>
  </w:style>
  <w:style w:type="character" w:customStyle="1" w:styleId="PlainTextChar">
    <w:name w:val="Plain Text Char"/>
    <w:basedOn w:val="DefaultParagraphFont"/>
    <w:link w:val="PlainText"/>
    <w:rsid w:val="00143F09"/>
    <w:rPr>
      <w:rFonts w:ascii="Courier New" w:eastAsia="Times New Roman" w:hAnsi="Courier New" w:cs="Times New Roman"/>
      <w:sz w:val="20"/>
      <w:szCs w:val="20"/>
      <w:lang w:eastAsia="en-US"/>
    </w:rPr>
  </w:style>
  <w:style w:type="character" w:customStyle="1" w:styleId="MenuOption">
    <w:name w:val="Menu Option"/>
    <w:basedOn w:val="DefaultParagraphFont"/>
    <w:rsid w:val="00143F09"/>
    <w:rPr>
      <w:b/>
      <w:smallCaps/>
    </w:rPr>
  </w:style>
  <w:style w:type="paragraph" w:customStyle="1" w:styleId="TableListNumber">
    <w:name w:val="Table List Number"/>
    <w:basedOn w:val="ListNumber"/>
    <w:rsid w:val="00143F09"/>
    <w:pPr>
      <w:numPr>
        <w:numId w:val="0"/>
      </w:numPr>
    </w:pPr>
  </w:style>
  <w:style w:type="paragraph" w:styleId="TOC4">
    <w:name w:val="toc 4"/>
    <w:basedOn w:val="TOCBase"/>
    <w:next w:val="Normal"/>
    <w:semiHidden/>
    <w:rsid w:val="00143F09"/>
    <w:pPr>
      <w:tabs>
        <w:tab w:val="right" w:leader="dot" w:pos="9071"/>
      </w:tabs>
      <w:ind w:left="1701"/>
    </w:pPr>
  </w:style>
  <w:style w:type="paragraph" w:customStyle="1" w:styleId="ListAlpha">
    <w:name w:val="List Alpha"/>
    <w:basedOn w:val="List"/>
    <w:rsid w:val="00143F09"/>
    <w:pPr>
      <w:numPr>
        <w:numId w:val="9"/>
      </w:numPr>
    </w:pPr>
  </w:style>
  <w:style w:type="paragraph" w:customStyle="1" w:styleId="ListAlpha2">
    <w:name w:val="List Alpha 2"/>
    <w:basedOn w:val="List2"/>
    <w:rsid w:val="00143F09"/>
    <w:pPr>
      <w:numPr>
        <w:numId w:val="8"/>
      </w:numPr>
    </w:pPr>
  </w:style>
  <w:style w:type="paragraph" w:styleId="List2">
    <w:name w:val="List 2"/>
    <w:basedOn w:val="BodyText"/>
    <w:rsid w:val="00143F09"/>
    <w:pPr>
      <w:tabs>
        <w:tab w:val="left" w:pos="680"/>
      </w:tabs>
      <w:spacing w:before="60" w:after="60"/>
      <w:ind w:left="680" w:hanging="340"/>
    </w:pPr>
  </w:style>
  <w:style w:type="paragraph" w:styleId="List3">
    <w:name w:val="List 3"/>
    <w:basedOn w:val="BodyText"/>
    <w:rsid w:val="00143F09"/>
    <w:pPr>
      <w:tabs>
        <w:tab w:val="left" w:pos="1021"/>
      </w:tabs>
      <w:spacing w:before="60" w:after="60"/>
      <w:ind w:left="1020" w:hanging="340"/>
    </w:pPr>
  </w:style>
  <w:style w:type="paragraph" w:styleId="List4">
    <w:name w:val="List 4"/>
    <w:basedOn w:val="BodyText"/>
    <w:rsid w:val="00143F09"/>
    <w:pPr>
      <w:tabs>
        <w:tab w:val="left" w:pos="1361"/>
      </w:tabs>
      <w:spacing w:before="60" w:after="60"/>
      <w:ind w:left="1361" w:hanging="340"/>
    </w:pPr>
  </w:style>
  <w:style w:type="paragraph" w:styleId="List5">
    <w:name w:val="List 5"/>
    <w:basedOn w:val="BodyText"/>
    <w:rsid w:val="00143F09"/>
    <w:pPr>
      <w:tabs>
        <w:tab w:val="left" w:pos="1701"/>
      </w:tabs>
      <w:spacing w:before="60" w:after="60"/>
      <w:ind w:left="1701" w:hanging="340"/>
    </w:pPr>
  </w:style>
  <w:style w:type="paragraph" w:styleId="ListBullet3">
    <w:name w:val="List Bullet 3"/>
    <w:basedOn w:val="List3"/>
    <w:rsid w:val="00143F09"/>
    <w:pPr>
      <w:numPr>
        <w:numId w:val="14"/>
      </w:numPr>
      <w:tabs>
        <w:tab w:val="clear" w:pos="1021"/>
      </w:tabs>
      <w:ind w:left="1037" w:hanging="357"/>
    </w:pPr>
  </w:style>
  <w:style w:type="paragraph" w:styleId="ListBullet4">
    <w:name w:val="List Bullet 4"/>
    <w:basedOn w:val="List4"/>
    <w:rsid w:val="00143F09"/>
    <w:pPr>
      <w:numPr>
        <w:numId w:val="3"/>
      </w:numPr>
      <w:tabs>
        <w:tab w:val="clear" w:pos="1361"/>
      </w:tabs>
    </w:pPr>
  </w:style>
  <w:style w:type="paragraph" w:styleId="ListBullet5">
    <w:name w:val="List Bullet 5"/>
    <w:basedOn w:val="List5"/>
    <w:rsid w:val="00143F09"/>
    <w:pPr>
      <w:numPr>
        <w:numId w:val="4"/>
      </w:numPr>
    </w:pPr>
  </w:style>
  <w:style w:type="paragraph" w:styleId="ListContinue2">
    <w:name w:val="List Continue 2"/>
    <w:basedOn w:val="List2"/>
    <w:rsid w:val="00143F09"/>
    <w:pPr>
      <w:ind w:firstLine="0"/>
    </w:pPr>
  </w:style>
  <w:style w:type="paragraph" w:styleId="ListContinue3">
    <w:name w:val="List Continue 3"/>
    <w:basedOn w:val="List3"/>
    <w:rsid w:val="00143F09"/>
    <w:pPr>
      <w:ind w:left="1021" w:firstLine="0"/>
    </w:pPr>
  </w:style>
  <w:style w:type="paragraph" w:styleId="ListContinue4">
    <w:name w:val="List Continue 4"/>
    <w:basedOn w:val="List4"/>
    <w:rsid w:val="00143F09"/>
    <w:pPr>
      <w:ind w:firstLine="0"/>
    </w:pPr>
  </w:style>
  <w:style w:type="paragraph" w:styleId="ListContinue5">
    <w:name w:val="List Continue 5"/>
    <w:basedOn w:val="List5"/>
    <w:rsid w:val="00143F09"/>
    <w:pPr>
      <w:ind w:firstLine="0"/>
    </w:pPr>
  </w:style>
  <w:style w:type="paragraph" w:styleId="ListNumber3">
    <w:name w:val="List Number 3"/>
    <w:basedOn w:val="List3"/>
    <w:rsid w:val="00143F09"/>
    <w:pPr>
      <w:numPr>
        <w:numId w:val="5"/>
      </w:numPr>
    </w:pPr>
  </w:style>
  <w:style w:type="paragraph" w:styleId="ListNumber4">
    <w:name w:val="List Number 4"/>
    <w:basedOn w:val="List4"/>
    <w:rsid w:val="00143F09"/>
    <w:pPr>
      <w:numPr>
        <w:numId w:val="6"/>
      </w:numPr>
    </w:pPr>
  </w:style>
  <w:style w:type="paragraph" w:styleId="ListNumber5">
    <w:name w:val="List Number 5"/>
    <w:basedOn w:val="List5"/>
    <w:rsid w:val="00143F09"/>
    <w:pPr>
      <w:numPr>
        <w:numId w:val="7"/>
      </w:numPr>
    </w:pPr>
  </w:style>
  <w:style w:type="paragraph" w:styleId="BlockText">
    <w:name w:val="Block Text"/>
    <w:basedOn w:val="Normal"/>
    <w:rsid w:val="00143F09"/>
    <w:pPr>
      <w:spacing w:after="120"/>
      <w:ind w:left="1440" w:right="1440"/>
    </w:pPr>
  </w:style>
  <w:style w:type="character" w:customStyle="1" w:styleId="Subscript">
    <w:name w:val="Subscript"/>
    <w:basedOn w:val="DefaultParagraphFont"/>
    <w:rsid w:val="00143F09"/>
    <w:rPr>
      <w:sz w:val="16"/>
      <w:vertAlign w:val="subscript"/>
    </w:rPr>
  </w:style>
  <w:style w:type="character" w:customStyle="1" w:styleId="Superscript">
    <w:name w:val="Superscript"/>
    <w:basedOn w:val="DefaultParagraphFont"/>
    <w:rsid w:val="00143F09"/>
    <w:rPr>
      <w:sz w:val="16"/>
      <w:vertAlign w:val="superscript"/>
    </w:rPr>
  </w:style>
  <w:style w:type="character" w:customStyle="1" w:styleId="Symbols">
    <w:name w:val="Symbols"/>
    <w:basedOn w:val="DefaultParagraphFont"/>
    <w:rsid w:val="00143F09"/>
    <w:rPr>
      <w:rFonts w:ascii="Symbol" w:hAnsi="Symbol"/>
    </w:rPr>
  </w:style>
  <w:style w:type="character" w:customStyle="1" w:styleId="MenuOptions">
    <w:name w:val="Menu Options"/>
    <w:basedOn w:val="DefaultParagraphFont"/>
    <w:rsid w:val="00143F09"/>
    <w:rPr>
      <w:rFonts w:ascii="Arial Narrow" w:hAnsi="Arial Narrow"/>
      <w:smallCaps/>
    </w:rPr>
  </w:style>
  <w:style w:type="character" w:customStyle="1" w:styleId="Buttons">
    <w:name w:val="Buttons"/>
    <w:basedOn w:val="DefaultParagraphFont"/>
    <w:rsid w:val="00143F09"/>
    <w:rPr>
      <w:b/>
    </w:rPr>
  </w:style>
  <w:style w:type="character" w:customStyle="1" w:styleId="Underlined">
    <w:name w:val="Underlined"/>
    <w:basedOn w:val="DefaultParagraphFont"/>
    <w:rsid w:val="00143F09"/>
    <w:rPr>
      <w:u w:val="single"/>
    </w:rPr>
  </w:style>
  <w:style w:type="paragraph" w:customStyle="1" w:styleId="TableBodyTextRight">
    <w:name w:val="Table Body Text Right"/>
    <w:basedOn w:val="TableBodyText"/>
    <w:rsid w:val="00143F09"/>
    <w:pPr>
      <w:widowControl w:val="0"/>
      <w:autoSpaceDE w:val="0"/>
      <w:autoSpaceDN w:val="0"/>
      <w:adjustRightInd w:val="0"/>
      <w:jc w:val="right"/>
    </w:pPr>
    <w:rPr>
      <w:rFonts w:cs="Arial"/>
      <w:szCs w:val="18"/>
    </w:rPr>
  </w:style>
  <w:style w:type="paragraph" w:customStyle="1" w:styleId="CopyrightText">
    <w:name w:val="Copyright Text"/>
    <w:basedOn w:val="BodyText"/>
    <w:rsid w:val="00143F09"/>
    <w:rPr>
      <w:sz w:val="18"/>
    </w:rPr>
  </w:style>
  <w:style w:type="paragraph" w:customStyle="1" w:styleId="BodySmallRight">
    <w:name w:val="Body Small Right"/>
    <w:basedOn w:val="BodyTextRight"/>
    <w:rsid w:val="00143F09"/>
    <w:rPr>
      <w:sz w:val="18"/>
      <w:szCs w:val="18"/>
    </w:rPr>
  </w:style>
  <w:style w:type="paragraph" w:customStyle="1" w:styleId="MarginEdition">
    <w:name w:val="Margin Edition"/>
    <w:basedOn w:val="MarginNote"/>
    <w:rsid w:val="00143F09"/>
    <w:pPr>
      <w:spacing w:before="0" w:after="0"/>
    </w:pPr>
    <w:rPr>
      <w:rFonts w:ascii="Times New Roman" w:hAnsi="Times New Roman"/>
      <w:color w:val="999999"/>
    </w:rPr>
  </w:style>
  <w:style w:type="paragraph" w:customStyle="1" w:styleId="Spacer">
    <w:name w:val="Spacer"/>
    <w:basedOn w:val="Normal"/>
    <w:rsid w:val="00143F09"/>
    <w:rPr>
      <w:sz w:val="2"/>
      <w:szCs w:val="2"/>
    </w:rPr>
  </w:style>
  <w:style w:type="character" w:customStyle="1" w:styleId="Small">
    <w:name w:val="Small"/>
    <w:basedOn w:val="DefaultParagraphFont"/>
    <w:rsid w:val="00143F09"/>
    <w:rPr>
      <w:sz w:val="16"/>
    </w:rPr>
  </w:style>
  <w:style w:type="paragraph" w:customStyle="1" w:styleId="WideTable">
    <w:name w:val="Wide Table"/>
    <w:basedOn w:val="Normal"/>
    <w:rsid w:val="00143F09"/>
    <w:pPr>
      <w:ind w:left="-1418"/>
    </w:pPr>
    <w:rPr>
      <w:sz w:val="2"/>
      <w:szCs w:val="2"/>
    </w:rPr>
  </w:style>
  <w:style w:type="character" w:styleId="PageNumber">
    <w:name w:val="page number"/>
    <w:basedOn w:val="DefaultParagraphFont"/>
    <w:rsid w:val="00143F09"/>
  </w:style>
  <w:style w:type="paragraph" w:styleId="Quote">
    <w:name w:val="Quote"/>
    <w:basedOn w:val="Heading1"/>
    <w:link w:val="QuoteChar"/>
    <w:qFormat/>
    <w:rsid w:val="00143F09"/>
    <w:rPr>
      <w:b w:val="0"/>
      <w:sz w:val="72"/>
      <w:szCs w:val="72"/>
      <w:lang w:val="en-NZ"/>
    </w:rPr>
  </w:style>
  <w:style w:type="character" w:customStyle="1" w:styleId="QuoteChar">
    <w:name w:val="Quote Char"/>
    <w:basedOn w:val="DefaultParagraphFont"/>
    <w:link w:val="Quote"/>
    <w:rsid w:val="00143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F09"/>
    <w:pPr>
      <w:pageBreakBefore/>
    </w:pPr>
  </w:style>
  <w:style w:type="paragraph" w:customStyle="1" w:styleId="Border">
    <w:name w:val="Border"/>
    <w:basedOn w:val="Normal"/>
    <w:qFormat/>
    <w:rsid w:val="00143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F09"/>
    <w:rPr>
      <w:b/>
      <w:bCs/>
      <w:i/>
      <w:iCs/>
      <w:color w:val="auto"/>
    </w:rPr>
  </w:style>
  <w:style w:type="paragraph" w:styleId="IntenseQuote">
    <w:name w:val="Intense Quote"/>
    <w:basedOn w:val="Normal"/>
    <w:next w:val="Normal"/>
    <w:link w:val="IntenseQuoteChar"/>
    <w:uiPriority w:val="30"/>
    <w:qFormat/>
    <w:rsid w:val="00143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F09"/>
    <w:rPr>
      <w:smallCaps/>
      <w:color w:val="auto"/>
      <w:u w:val="single"/>
    </w:rPr>
  </w:style>
  <w:style w:type="character" w:styleId="IntenseReference">
    <w:name w:val="Intense Reference"/>
    <w:basedOn w:val="DefaultParagraphFont"/>
    <w:uiPriority w:val="32"/>
    <w:qFormat/>
    <w:rsid w:val="00143F09"/>
    <w:rPr>
      <w:b/>
      <w:bCs/>
      <w:smallCaps/>
      <w:color w:val="auto"/>
      <w:spacing w:val="5"/>
      <w:u w:val="single"/>
    </w:rPr>
  </w:style>
  <w:style w:type="paragraph" w:customStyle="1" w:styleId="2ColumnHeading">
    <w:name w:val="2Column Heading"/>
    <w:basedOn w:val="BodyText"/>
    <w:qFormat/>
    <w:rsid w:val="00143F09"/>
    <w:pPr>
      <w:spacing w:after="60"/>
      <w:ind w:left="-2268"/>
    </w:pPr>
    <w:rPr>
      <w:b/>
    </w:rPr>
  </w:style>
  <w:style w:type="paragraph" w:customStyle="1" w:styleId="Heading1TOC">
    <w:name w:val="Heading1 TOC"/>
    <w:basedOn w:val="Normal"/>
    <w:qFormat/>
    <w:rsid w:val="00143F09"/>
    <w:pPr>
      <w:spacing w:before="240" w:after="120"/>
    </w:pPr>
    <w:rPr>
      <w:rFonts w:ascii="Times New Roman" w:hAnsi="Times New Roman"/>
      <w:b/>
      <w:sz w:val="32"/>
    </w:rPr>
  </w:style>
  <w:style w:type="paragraph" w:customStyle="1" w:styleId="Heading2TOC">
    <w:name w:val="Heading2 TOC"/>
    <w:basedOn w:val="Normal"/>
    <w:qFormat/>
    <w:rsid w:val="00143F09"/>
    <w:pPr>
      <w:spacing w:before="240" w:after="60"/>
    </w:pPr>
    <w:rPr>
      <w:rFonts w:ascii="Times New Roman" w:hAnsi="Times New Roman"/>
      <w:b/>
      <w:sz w:val="28"/>
    </w:rPr>
  </w:style>
  <w:style w:type="character" w:customStyle="1" w:styleId="Underline">
    <w:name w:val="Underline"/>
    <w:basedOn w:val="DefaultParagraphFont"/>
    <w:qFormat/>
    <w:rsid w:val="00143F09"/>
    <w:rPr>
      <w:u w:val="single"/>
    </w:rPr>
  </w:style>
  <w:style w:type="character" w:customStyle="1" w:styleId="BoldandItalics">
    <w:name w:val="Bold and Italics"/>
    <w:qFormat/>
    <w:rsid w:val="00143F09"/>
    <w:rPr>
      <w:b/>
      <w:i/>
      <w:u w:val="none"/>
    </w:rPr>
  </w:style>
  <w:style w:type="paragraph" w:styleId="BalloonText">
    <w:name w:val="Balloon Text"/>
    <w:basedOn w:val="Normal"/>
    <w:link w:val="BalloonTextChar"/>
    <w:rsid w:val="00143F09"/>
    <w:rPr>
      <w:rFonts w:ascii="Tahoma" w:hAnsi="Tahoma" w:cs="Tahoma"/>
      <w:sz w:val="16"/>
      <w:szCs w:val="16"/>
    </w:rPr>
  </w:style>
  <w:style w:type="character" w:customStyle="1" w:styleId="BalloonTextChar">
    <w:name w:val="Balloon Text Char"/>
    <w:basedOn w:val="DefaultParagraphFont"/>
    <w:link w:val="BalloonText"/>
    <w:rsid w:val="00143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F09"/>
    <w:rPr>
      <w:b/>
      <w:color w:val="660033"/>
      <w:spacing w:val="0"/>
    </w:rPr>
  </w:style>
  <w:style w:type="paragraph" w:customStyle="1" w:styleId="Nameditemlist">
    <w:name w:val="Named item list"/>
    <w:basedOn w:val="BodyText"/>
    <w:qFormat/>
    <w:rsid w:val="00143F09"/>
    <w:pPr>
      <w:tabs>
        <w:tab w:val="left" w:pos="2835"/>
      </w:tabs>
      <w:ind w:left="2835" w:hanging="2835"/>
    </w:pPr>
  </w:style>
  <w:style w:type="paragraph" w:customStyle="1" w:styleId="BodyTextnopadding">
    <w:name w:val="Body Text no padding"/>
    <w:basedOn w:val="BodyText"/>
    <w:qFormat/>
    <w:rsid w:val="00143F09"/>
    <w:pPr>
      <w:spacing w:before="0" w:after="0"/>
    </w:pPr>
  </w:style>
  <w:style w:type="paragraph" w:customStyle="1" w:styleId="BodyTextBold">
    <w:name w:val="Body Text Bold"/>
    <w:basedOn w:val="BodyText"/>
    <w:qFormat/>
    <w:rsid w:val="00143F09"/>
    <w:rPr>
      <w:b/>
    </w:rPr>
  </w:style>
  <w:style w:type="character" w:styleId="Hyperlink">
    <w:name w:val="Hyperlink"/>
    <w:basedOn w:val="DefaultParagraphFont"/>
    <w:uiPriority w:val="99"/>
    <w:unhideWhenUsed/>
    <w:rsid w:val="00C35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7682</Characters>
  <Application>Microsoft Office Word</Application>
  <DocSecurity>0</DocSecurity>
  <Lines>295</Lines>
  <Paragraphs>173</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CPPHES4002 Advise clients on thermal performance of residential buildings</dc:title>
  <dc:subject>Approved</dc:subject>
  <dc:creator>BuildSkills Australia</dc:creator>
  <cp:keywords>Release: 2</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