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FA4" w:rsidP="00240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CPPHES4002 Advise clients on thermal performance of residential buildings</w:t>
      </w:r>
      <w:r>
        <w:fldChar w:fldCharType="end"/>
      </w:r>
    </w:p>
    <w:p w:rsidR="00240FA4" w:rsidP="00240FA4">
      <w:pPr>
        <w:pStyle w:val="Version"/>
        <w:sectPr w:rsidSect="00E16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6688" w:rsidP="00E16688">
      <w:pPr>
        <w:pStyle w:val="SuperHeading"/>
      </w:pPr>
      <w:r w:rsidRPr="00E16688">
        <w:t>Assessment Requirements for CPPHES4002 Advise clients on thermal performance of residential buildings</w:t>
      </w:r>
    </w:p>
    <w:p w:rsidR="00000000" w:rsidRPr="00E16688" w:rsidP="00E16688">
      <w:pPr>
        <w:pStyle w:val="Heading1"/>
      </w:pPr>
      <w:bookmarkStart w:id="1" w:name="O_1186370"/>
      <w:bookmarkEnd w:id="1"/>
      <w:r w:rsidRPr="00E166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6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88">
            <w:pPr>
              <w:pStyle w:val="BodyText"/>
              <w:rPr>
                <w:lang w:val="en-NZ"/>
              </w:rPr>
            </w:pPr>
            <w:r w:rsidRPr="00E1668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88" w:rsidP="00E16688">
            <w:pPr>
              <w:pStyle w:val="BodyText"/>
            </w:pPr>
            <w:r w:rsidRPr="00E16688">
              <w:t>This version first released with CPP Property Services Training Package Release 14.0.</w:t>
            </w:r>
          </w:p>
          <w:p w:rsidR="00000000" w:rsidP="00E16688">
            <w:pPr>
              <w:pStyle w:val="BodyText"/>
              <w:rPr>
                <w:lang w:val="en-NZ"/>
              </w:rPr>
            </w:pPr>
            <w:r w:rsidRPr="00E16688">
              <w:t>Updated reference to reflect correction in Modification History from CPC Property Services 5.0 to CPP Property Services 9.0.</w:t>
            </w:r>
          </w:p>
        </w:tc>
      </w:tr>
      <w:tr w:rsidTr="00E16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88">
            <w:pPr>
              <w:pStyle w:val="BodyText"/>
              <w:rPr>
                <w:lang w:val="en-NZ"/>
              </w:rPr>
            </w:pPr>
            <w:r w:rsidRPr="00E1668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88" w:rsidP="00E16688">
            <w:pPr>
              <w:pStyle w:val="BodyText"/>
            </w:pPr>
            <w:r w:rsidRPr="00E16688">
              <w:t>This version first released with CPC Property Services Training Package Release 5.0.</w:t>
            </w:r>
          </w:p>
          <w:p w:rsidR="00000000" w:rsidRPr="00E16688" w:rsidP="00E16688">
            <w:pPr>
              <w:pStyle w:val="BodyText"/>
            </w:pPr>
            <w:r w:rsidRPr="00E16688">
              <w:t>Supersedes and equivalent to CPPHSA</w:t>
            </w:r>
            <w:r w:rsidRPr="00E16688">
              <w:t>4019A Inform clients about thermal performance of residential buildings.  Updated to meet the Standards for Training Packages.</w:t>
            </w:r>
          </w:p>
        </w:tc>
      </w:tr>
    </w:tbl>
    <w:p w:rsidR="00000000" w:rsidRPr="00E16688" w:rsidP="00E16688">
      <w:pPr>
        <w:pStyle w:val="BodyText"/>
      </w:pPr>
    </w:p>
    <w:p w:rsidR="00000000" w:rsidRPr="00E16688" w:rsidP="00E16688">
      <w:pPr>
        <w:pStyle w:val="AllowPageBreak"/>
      </w:pPr>
    </w:p>
    <w:p w:rsidR="00000000" w:rsidRPr="00E16688" w:rsidP="00E16688">
      <w:pPr>
        <w:pStyle w:val="Heading1"/>
      </w:pPr>
      <w:bookmarkStart w:id="2" w:name="O_1186369"/>
      <w:bookmarkEnd w:id="2"/>
      <w:r w:rsidRPr="00E16688">
        <w:t>Performance Evidence</w:t>
      </w:r>
    </w:p>
    <w:p w:rsidR="00240FA4" w:rsidP="00240FA4">
      <w:pPr>
        <w:pStyle w:val="BodyText"/>
      </w:pPr>
      <w:r w:rsidRPr="00E16688">
        <w:t xml:space="preserve">To demonstrate competency, a candidate must meet the performance criteria of this unit </w:t>
      </w:r>
      <w:r w:rsidRPr="00E16688">
        <w:t>by providing accurate oral and written advice to three different clients on the thermal performance of residential buildings involving three different building designs and climate zones.</w:t>
      </w:r>
    </w:p>
    <w:p w:rsidR="00000000" w:rsidRPr="00E16688" w:rsidP="00E16688">
      <w:pPr>
        <w:pStyle w:val="Heading1"/>
      </w:pPr>
      <w:bookmarkStart w:id="3" w:name="O_1186368"/>
      <w:bookmarkEnd w:id="3"/>
      <w:r w:rsidRPr="00E16688">
        <w:t>Knowledge Evidence</w:t>
      </w:r>
    </w:p>
    <w:p w:rsidR="00000000" w:rsidRPr="00E16688" w:rsidP="00240FA4">
      <w:pPr>
        <w:pStyle w:val="BodyText"/>
      </w:pPr>
      <w:r w:rsidRPr="00E16688">
        <w:t xml:space="preserve">To be competent in this unit, </w:t>
      </w:r>
      <w:r w:rsidRPr="00E16688">
        <w:t>a candidate must demonstrate knowledge of:</w:t>
      </w:r>
    </w:p>
    <w:p w:rsidR="00000000" w:rsidRPr="00E16688" w:rsidP="00E16688">
      <w:pPr>
        <w:pStyle w:val="ListBullet"/>
      </w:pPr>
      <w:r w:rsidRPr="00E16688">
        <w:t>Australian climate zones, characteristics and data used in thermal performance assessments:</w:t>
      </w:r>
    </w:p>
    <w:p w:rsidR="00000000" w:rsidRPr="00E16688" w:rsidP="00E16688">
      <w:pPr>
        <w:pStyle w:val="ListBullet2"/>
      </w:pPr>
      <w:r w:rsidRPr="00E16688">
        <w:t>diurnal temperature range</w:t>
      </w:r>
    </w:p>
    <w:p w:rsidR="00000000" w:rsidRPr="00E16688" w:rsidP="00E16688">
      <w:pPr>
        <w:pStyle w:val="ListBullet2"/>
      </w:pPr>
      <w:r w:rsidRPr="00E16688">
        <w:t>humidity</w:t>
      </w:r>
    </w:p>
    <w:p w:rsidR="00000000" w:rsidRPr="00E16688" w:rsidP="00E16688">
      <w:pPr>
        <w:pStyle w:val="ListBullet2"/>
      </w:pPr>
      <w:r w:rsidRPr="00E16688">
        <w:t>irradiance</w:t>
      </w:r>
    </w:p>
    <w:p w:rsidR="00000000" w:rsidRPr="00E16688" w:rsidP="00E16688">
      <w:pPr>
        <w:pStyle w:val="ListBullet2"/>
      </w:pPr>
      <w:r w:rsidRPr="00E16688">
        <w:t>minimum and maximum temperature</w:t>
      </w:r>
    </w:p>
    <w:p w:rsidR="00000000" w:rsidRPr="00E16688" w:rsidP="00E16688">
      <w:pPr>
        <w:pStyle w:val="ListBullet2"/>
      </w:pPr>
      <w:r w:rsidRPr="00E16688">
        <w:t>solar geometry</w:t>
      </w:r>
    </w:p>
    <w:p w:rsidR="00000000" w:rsidRPr="00E16688" w:rsidP="00E16688">
      <w:pPr>
        <w:pStyle w:val="ListBullet2"/>
      </w:pPr>
      <w:r w:rsidRPr="00E16688">
        <w:t>wind speed and direction</w:t>
      </w:r>
    </w:p>
    <w:p w:rsidR="00000000" w:rsidRPr="00E16688" w:rsidP="00E16688">
      <w:pPr>
        <w:pStyle w:val="ListBullet"/>
      </w:pPr>
      <w:r w:rsidRPr="00E16688">
        <w:t>building elements included in thermal performance assessments</w:t>
      </w:r>
    </w:p>
    <w:p w:rsidR="00000000" w:rsidRPr="00E16688" w:rsidP="00E16688">
      <w:pPr>
        <w:pStyle w:val="ListBullet"/>
      </w:pPr>
      <w:r w:rsidRPr="00E16688">
        <w:t>definition of thermal comfort:</w:t>
      </w:r>
    </w:p>
    <w:p w:rsidR="00000000" w:rsidRPr="00E16688" w:rsidP="00E16688">
      <w:pPr>
        <w:pStyle w:val="ListBullet2"/>
      </w:pPr>
      <w:r w:rsidRPr="00E16688">
        <w:t>factors influencing thermal comfort</w:t>
      </w:r>
    </w:p>
    <w:p w:rsidR="00000000" w:rsidRPr="00E16688" w:rsidP="00E16688">
      <w:pPr>
        <w:pStyle w:val="ListBullet2"/>
      </w:pPr>
      <w:r w:rsidRPr="00E16688">
        <w:t>models of thermal comfort</w:t>
      </w:r>
    </w:p>
    <w:p w:rsidR="00000000" w:rsidRPr="00E16688" w:rsidP="00E16688">
      <w:pPr>
        <w:pStyle w:val="ListBullet2"/>
      </w:pPr>
      <w:r w:rsidRPr="00E16688">
        <w:t>role of thermal comfort in building thermal performance assessments</w:t>
      </w:r>
    </w:p>
    <w:p w:rsidR="00000000" w:rsidRPr="00E16688" w:rsidP="00E16688">
      <w:pPr>
        <w:pStyle w:val="ListBullet2"/>
      </w:pPr>
      <w:r w:rsidRPr="00E16688">
        <w:t>thermal sensitivity of individua</w:t>
      </w:r>
      <w:r w:rsidRPr="00E16688">
        <w:t>ls</w:t>
      </w:r>
    </w:p>
    <w:p w:rsidR="00000000" w:rsidRPr="00E16688" w:rsidP="00E16688">
      <w:pPr>
        <w:pStyle w:val="ListBullet"/>
      </w:pPr>
      <w:r w:rsidRPr="00E16688">
        <w:t>environmental and social impacts of energy use:</w:t>
      </w:r>
    </w:p>
    <w:p w:rsidR="00000000" w:rsidRPr="00E16688" w:rsidP="00E16688">
      <w:pPr>
        <w:pStyle w:val="ListBullet2"/>
      </w:pPr>
      <w:r w:rsidRPr="00E16688">
        <w:t>climate change</w:t>
      </w:r>
    </w:p>
    <w:p w:rsidR="00000000" w:rsidRPr="00E16688" w:rsidP="00E16688">
      <w:pPr>
        <w:pStyle w:val="ListBullet2"/>
      </w:pPr>
      <w:r w:rsidRPr="00E16688">
        <w:t>energy cost</w:t>
      </w:r>
    </w:p>
    <w:p w:rsidR="00000000" w:rsidRPr="00E16688" w:rsidP="00E16688">
      <w:pPr>
        <w:pStyle w:val="ListBullet2"/>
      </w:pPr>
      <w:r w:rsidRPr="00E16688">
        <w:t>energy security</w:t>
      </w:r>
    </w:p>
    <w:p w:rsidR="00000000" w:rsidRPr="00E16688" w:rsidP="00E16688">
      <w:pPr>
        <w:pStyle w:val="ListBullet2"/>
      </w:pPr>
      <w:r w:rsidRPr="00E16688">
        <w:t>global warming</w:t>
      </w:r>
    </w:p>
    <w:p w:rsidR="00000000" w:rsidRPr="00E16688" w:rsidP="00E16688">
      <w:pPr>
        <w:pStyle w:val="ListBullet2"/>
      </w:pPr>
      <w:r w:rsidRPr="00E16688">
        <w:t>greenhouse gas emissions</w:t>
      </w:r>
    </w:p>
    <w:p w:rsidR="00000000" w:rsidRPr="00E16688" w:rsidP="00E16688">
      <w:pPr>
        <w:pStyle w:val="ListBullet2"/>
      </w:pPr>
      <w:r w:rsidRPr="00E16688">
        <w:t>operational costs</w:t>
      </w:r>
    </w:p>
    <w:p w:rsidR="00000000" w:rsidRPr="00E16688" w:rsidP="00E16688">
      <w:pPr>
        <w:pStyle w:val="ListBullet2"/>
      </w:pPr>
      <w:r w:rsidRPr="00E16688">
        <w:t>resource depletion</w:t>
      </w:r>
    </w:p>
    <w:p w:rsidR="00000000" w:rsidRPr="00E16688" w:rsidP="00E16688">
      <w:pPr>
        <w:pStyle w:val="ListBullet"/>
      </w:pPr>
      <w:r w:rsidRPr="00E16688">
        <w:t>impact of climate on thermal performance of residential buildings</w:t>
      </w:r>
    </w:p>
    <w:p w:rsidR="00000000" w:rsidRPr="00E16688" w:rsidP="00E16688">
      <w:pPr>
        <w:pStyle w:val="ListBullet"/>
      </w:pPr>
      <w:r w:rsidRPr="00E16688">
        <w:t>industry terminology for energy use associated with thermal performance of buildings</w:t>
      </w:r>
    </w:p>
    <w:p w:rsidR="00000000" w:rsidRPr="00E16688" w:rsidP="00E16688">
      <w:pPr>
        <w:pStyle w:val="ListBullet"/>
      </w:pPr>
      <w:r w:rsidRPr="00E16688">
        <w:t>passive building design principles</w:t>
      </w:r>
    </w:p>
    <w:p w:rsidR="00000000" w:rsidRPr="00E16688" w:rsidP="00E16688">
      <w:pPr>
        <w:pStyle w:val="ListBullet"/>
      </w:pPr>
      <w:r w:rsidRPr="00E16688">
        <w:t>process of heat transfer in residential buildings:</w:t>
      </w:r>
    </w:p>
    <w:p w:rsidR="00000000" w:rsidRPr="00E16688" w:rsidP="00E16688">
      <w:pPr>
        <w:pStyle w:val="ListBullet2"/>
      </w:pPr>
      <w:r w:rsidRPr="00E16688">
        <w:t>key terms used to describe heat transfer</w:t>
      </w:r>
    </w:p>
    <w:p w:rsidR="00000000" w:rsidRPr="00E16688" w:rsidP="00E16688">
      <w:pPr>
        <w:pStyle w:val="ListBullet2"/>
      </w:pPr>
      <w:r w:rsidRPr="00E16688">
        <w:t>impact on heating and cooling</w:t>
      </w:r>
    </w:p>
    <w:p w:rsidR="00000000" w:rsidRPr="00E16688" w:rsidP="00E16688">
      <w:pPr>
        <w:pStyle w:val="ListBullet2"/>
      </w:pPr>
      <w:r w:rsidRPr="00E16688">
        <w:t xml:space="preserve">mechanisms:  </w:t>
      </w:r>
      <w:r w:rsidRPr="00E16688">
        <w:t>radiation, convection and conduction</w:t>
      </w:r>
    </w:p>
    <w:p w:rsidR="00000000" w:rsidRPr="00E16688" w:rsidP="00E16688">
      <w:pPr>
        <w:pStyle w:val="ListBullet2"/>
      </w:pPr>
      <w:r w:rsidRPr="00E16688">
        <w:t>modelling</w:t>
      </w:r>
    </w:p>
    <w:p w:rsidR="00000000" w:rsidRPr="00E16688" w:rsidP="00E16688">
      <w:pPr>
        <w:pStyle w:val="ListBullet2"/>
      </w:pPr>
      <w:r w:rsidRPr="00E16688">
        <w:t>U and R-values of building materials</w:t>
      </w:r>
    </w:p>
    <w:p w:rsidR="00000000" w:rsidRPr="00E16688" w:rsidP="00E16688">
      <w:pPr>
        <w:pStyle w:val="ListBullet2"/>
      </w:pPr>
      <w:r w:rsidRPr="00E16688">
        <w:t>R-values of wall constructions</w:t>
      </w:r>
    </w:p>
    <w:p w:rsidR="00000000" w:rsidRPr="00E16688" w:rsidP="00E16688">
      <w:pPr>
        <w:pStyle w:val="ListBullet"/>
      </w:pPr>
      <w:r w:rsidRPr="00E16688">
        <w:t>principles of thermal performance:</w:t>
      </w:r>
    </w:p>
    <w:p w:rsidR="00000000" w:rsidRPr="00E16688" w:rsidP="00E16688">
      <w:pPr>
        <w:pStyle w:val="ListBullet2"/>
      </w:pPr>
      <w:r w:rsidRPr="00E16688">
        <w:t>factors that diminish and enhance the thermal performance of residential buildings</w:t>
      </w:r>
    </w:p>
    <w:p w:rsidR="00000000" w:rsidRPr="00E16688" w:rsidP="00E16688">
      <w:pPr>
        <w:pStyle w:val="ListBullet2"/>
      </w:pPr>
      <w:r w:rsidRPr="00E16688">
        <w:t>impact of local climatic conditions on building thermal performance</w:t>
      </w:r>
    </w:p>
    <w:p w:rsidR="00000000" w:rsidRPr="00E16688" w:rsidP="00E16688">
      <w:pPr>
        <w:pStyle w:val="ListBullet2"/>
      </w:pPr>
      <w:r w:rsidRPr="00E16688">
        <w:t>relationship between building thermal performance, heating and cooling and energy consumption.</w:t>
      </w:r>
    </w:p>
    <w:p w:rsidR="00000000" w:rsidRPr="00E16688" w:rsidP="00E16688">
      <w:pPr>
        <w:pStyle w:val="AllowPageBreak"/>
      </w:pPr>
    </w:p>
    <w:p w:rsidR="00000000" w:rsidRPr="00E16688" w:rsidP="00E16688">
      <w:pPr>
        <w:pStyle w:val="Heading1"/>
      </w:pPr>
      <w:bookmarkStart w:id="4" w:name="O_1186367"/>
      <w:bookmarkEnd w:id="4"/>
      <w:r w:rsidRPr="00E16688">
        <w:t>Assessment Conditions</w:t>
      </w:r>
    </w:p>
    <w:p w:rsidR="00000000" w:rsidRPr="00E16688" w:rsidP="00240FA4">
      <w:pPr>
        <w:pStyle w:val="BodyText"/>
      </w:pPr>
      <w:r w:rsidRPr="00E16688">
        <w:t>Assessors must meet the requirements for assessors c</w:t>
      </w:r>
      <w:r w:rsidRPr="00E16688">
        <w:t>ontained in the Standards for Registered Training Organisations.</w:t>
      </w:r>
    </w:p>
    <w:p w:rsidR="00000000" w:rsidRPr="00E16688" w:rsidP="00240FA4">
      <w:pPr>
        <w:pStyle w:val="BodyText"/>
      </w:pPr>
      <w:r w:rsidRPr="00E16688">
        <w:t>This unit must be assessed in the workplace or a close simulation using realistic workplace conditions, materials, activities, responsibilities, procedures, safety requirements and environmen</w:t>
      </w:r>
      <w:r w:rsidRPr="00E16688">
        <w:t xml:space="preserve">tal considerations. </w:t>
      </w:r>
    </w:p>
    <w:p w:rsidR="00000000" w:rsidRPr="00E16688" w:rsidP="00240FA4">
      <w:pPr>
        <w:pStyle w:val="BodyText"/>
      </w:pPr>
      <w:r w:rsidRPr="00E16688">
        <w:t>Candidates must have access to:</w:t>
      </w:r>
    </w:p>
    <w:p w:rsidR="00000000" w:rsidRPr="00E16688" w:rsidP="00E16688">
      <w:pPr>
        <w:pStyle w:val="ListBullet"/>
      </w:pPr>
      <w:r w:rsidRPr="00E16688">
        <w:t>relevant codes, standards and regulations associated with building thermal performance assessments</w:t>
      </w:r>
    </w:p>
    <w:p w:rsidR="00000000" w:rsidRPr="00E16688" w:rsidP="00E16688">
      <w:pPr>
        <w:pStyle w:val="ListBullet"/>
      </w:pPr>
      <w:r w:rsidRPr="00E16688">
        <w:t>computer equipment and software suitable for sourcing and transmitting information on the thermal perfo</w:t>
      </w:r>
      <w:r w:rsidRPr="00E16688">
        <w:t>rmance of buildings to allow achievement of the performance evidence</w:t>
      </w:r>
    </w:p>
    <w:p w:rsidR="00000000" w:rsidRPr="00E16688" w:rsidP="00E16688">
      <w:pPr>
        <w:pStyle w:val="ListBullet"/>
      </w:pPr>
      <w:r w:rsidRPr="00E16688">
        <w:t>technical reference library and/or (online) access to current technical publications on:</w:t>
      </w:r>
    </w:p>
    <w:p w:rsidR="00000000" w:rsidRPr="00E16688" w:rsidP="00E16688">
      <w:pPr>
        <w:pStyle w:val="ListBullet2"/>
      </w:pPr>
      <w:r w:rsidRPr="00E16688">
        <w:t>passive building design</w:t>
      </w:r>
    </w:p>
    <w:p w:rsidR="00000000" w:rsidRPr="00E16688" w:rsidP="00E16688">
      <w:pPr>
        <w:pStyle w:val="ListBullet2"/>
      </w:pPr>
      <w:r w:rsidRPr="00E16688">
        <w:t>thermal performance of building materials</w:t>
      </w:r>
    </w:p>
    <w:p w:rsidR="00000000" w:rsidRPr="00E16688" w:rsidP="00E16688">
      <w:pPr>
        <w:pStyle w:val="ListBullet2"/>
      </w:pPr>
      <w:r w:rsidRPr="00E16688">
        <w:t>building thermal performance</w:t>
      </w:r>
    </w:p>
    <w:p w:rsidR="00000000" w:rsidRPr="00E16688" w:rsidP="00E16688">
      <w:pPr>
        <w:pStyle w:val="ListBullet2"/>
      </w:pPr>
      <w:r w:rsidRPr="00E16688">
        <w:t>manufacturers’ product information on building products and materials.</w:t>
      </w:r>
    </w:p>
    <w:p w:rsidR="00000000" w:rsidRPr="00E16688" w:rsidP="00E16688">
      <w:pPr>
        <w:pStyle w:val="AllowPageBreak"/>
      </w:pPr>
    </w:p>
    <w:p w:rsidR="00000000" w:rsidRPr="00E16688" w:rsidP="00E16688">
      <w:pPr>
        <w:pStyle w:val="Heading1"/>
      </w:pPr>
      <w:bookmarkStart w:id="5" w:name="O_1186380"/>
      <w:bookmarkEnd w:id="5"/>
      <w:r w:rsidRPr="00E16688">
        <w:t>Links</w:t>
      </w:r>
    </w:p>
    <w:p w:rsidR="00000000" w:rsidRPr="00E16688" w:rsidP="00240FA4">
      <w:pPr>
        <w:pStyle w:val="BodyText"/>
      </w:pPr>
      <w:r w:rsidRPr="00E166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B7BE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6688" w:rsidP="00E16688"/>
    <w:sectPr w:rsidSect="00E16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8" w:rsidRPr="00240FA4" w:rsidP="00240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A4" w:rsidP="00E16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FA4" w:rsidP="00E16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40FA4" w:rsidP="00E16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688" w:rsidRPr="00240FA4" w:rsidP="00240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A4" w:rsidRPr="002D2AF8" w:rsidP="00E16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CPPHES4002 Advise clients on thermal performance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40FA4" w:rsidP="00E16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2AE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E7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0C4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688"/>
  </w:style>
  <w:style w:type="character" w:customStyle="1" w:styleId="Heading1Char">
    <w:name w:val="Heading 1 Char"/>
    <w:basedOn w:val="DefaultParagraphFont"/>
    <w:link w:val="Heading1"/>
    <w:rsid w:val="00E16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6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6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688"/>
    <w:rPr>
      <w:b/>
      <w:spacing w:val="0"/>
    </w:rPr>
  </w:style>
  <w:style w:type="paragraph" w:customStyle="1" w:styleId="SuperTitle">
    <w:name w:val="SuperTitle"/>
    <w:basedOn w:val="Title"/>
    <w:rsid w:val="00E16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688"/>
    <w:rPr>
      <w:i/>
    </w:rPr>
  </w:style>
  <w:style w:type="paragraph" w:styleId="Caption">
    <w:name w:val="caption"/>
    <w:basedOn w:val="BodyText"/>
    <w:next w:val="Normal"/>
    <w:qFormat/>
    <w:rsid w:val="00E16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688"/>
  </w:style>
  <w:style w:type="paragraph" w:styleId="TableofFigures">
    <w:name w:val="table of figures"/>
    <w:basedOn w:val="Normal"/>
    <w:next w:val="Normal"/>
    <w:semiHidden/>
    <w:rsid w:val="00E16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6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688"/>
    <w:rPr>
      <w:rFonts w:ascii="Wingdings" w:hAnsi="Wingdings"/>
    </w:rPr>
  </w:style>
  <w:style w:type="paragraph" w:customStyle="1" w:styleId="TableHeading">
    <w:name w:val="Table Heading"/>
    <w:basedOn w:val="HeadingBase"/>
    <w:rsid w:val="00E16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688"/>
    <w:rPr>
      <w:color w:val="0033CC"/>
      <w:u w:val="none"/>
    </w:rPr>
  </w:style>
  <w:style w:type="paragraph" w:customStyle="1" w:styleId="BodyTextRight">
    <w:name w:val="Body Text Right"/>
    <w:basedOn w:val="BodyText"/>
    <w:rsid w:val="00E16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6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688"/>
    <w:rPr>
      <w:sz w:val="32"/>
    </w:rPr>
  </w:style>
  <w:style w:type="paragraph" w:customStyle="1" w:styleId="HeadingProcedure">
    <w:name w:val="Heading Procedure"/>
    <w:basedOn w:val="HeadingBase"/>
    <w:next w:val="Normal"/>
    <w:rsid w:val="00E16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688"/>
    <w:pPr>
      <w:spacing w:before="60" w:after="60"/>
    </w:pPr>
  </w:style>
  <w:style w:type="paragraph" w:styleId="ListContinue">
    <w:name w:val="List Continue"/>
    <w:basedOn w:val="List"/>
    <w:rsid w:val="00E16688"/>
    <w:pPr>
      <w:ind w:firstLine="0"/>
    </w:pPr>
  </w:style>
  <w:style w:type="paragraph" w:customStyle="1" w:styleId="ListNote">
    <w:name w:val="List Note"/>
    <w:basedOn w:val="List"/>
    <w:rsid w:val="00E16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688"/>
    <w:rPr>
      <w:rFonts w:ascii="Courier New" w:hAnsi="Courier New"/>
    </w:rPr>
  </w:style>
  <w:style w:type="paragraph" w:customStyle="1" w:styleId="NoteBullet">
    <w:name w:val="Note Bullet"/>
    <w:basedOn w:val="Note"/>
    <w:rsid w:val="00E16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6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688"/>
    <w:rPr>
      <w:b/>
      <w:smallCaps/>
    </w:rPr>
  </w:style>
  <w:style w:type="paragraph" w:customStyle="1" w:styleId="TableListNumber">
    <w:name w:val="Table List Number"/>
    <w:basedOn w:val="ListNumber"/>
    <w:rsid w:val="00E16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688"/>
    <w:pPr>
      <w:numPr>
        <w:numId w:val="9"/>
      </w:numPr>
    </w:pPr>
  </w:style>
  <w:style w:type="paragraph" w:customStyle="1" w:styleId="ListAlpha2">
    <w:name w:val="List Alpha 2"/>
    <w:basedOn w:val="List2"/>
    <w:rsid w:val="00E16688"/>
    <w:pPr>
      <w:numPr>
        <w:numId w:val="8"/>
      </w:numPr>
    </w:pPr>
  </w:style>
  <w:style w:type="paragraph" w:styleId="List2">
    <w:name w:val="List 2"/>
    <w:basedOn w:val="BodyText"/>
    <w:rsid w:val="00E16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6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6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688"/>
    <w:pPr>
      <w:numPr>
        <w:numId w:val="4"/>
      </w:numPr>
    </w:pPr>
  </w:style>
  <w:style w:type="paragraph" w:styleId="ListContinue2">
    <w:name w:val="List Continue 2"/>
    <w:basedOn w:val="List2"/>
    <w:rsid w:val="00E16688"/>
    <w:pPr>
      <w:ind w:firstLine="0"/>
    </w:pPr>
  </w:style>
  <w:style w:type="paragraph" w:styleId="ListContinue3">
    <w:name w:val="List Continue 3"/>
    <w:basedOn w:val="List3"/>
    <w:rsid w:val="00E16688"/>
    <w:pPr>
      <w:ind w:left="1021" w:firstLine="0"/>
    </w:pPr>
  </w:style>
  <w:style w:type="paragraph" w:styleId="ListContinue4">
    <w:name w:val="List Continue 4"/>
    <w:basedOn w:val="List4"/>
    <w:rsid w:val="00E16688"/>
    <w:pPr>
      <w:ind w:firstLine="0"/>
    </w:pPr>
  </w:style>
  <w:style w:type="paragraph" w:styleId="ListContinue5">
    <w:name w:val="List Continue 5"/>
    <w:basedOn w:val="List5"/>
    <w:rsid w:val="00E16688"/>
    <w:pPr>
      <w:ind w:firstLine="0"/>
    </w:pPr>
  </w:style>
  <w:style w:type="paragraph" w:styleId="ListNumber3">
    <w:name w:val="List Number 3"/>
    <w:basedOn w:val="List3"/>
    <w:rsid w:val="00E16688"/>
    <w:pPr>
      <w:numPr>
        <w:numId w:val="5"/>
      </w:numPr>
    </w:pPr>
  </w:style>
  <w:style w:type="paragraph" w:styleId="ListNumber4">
    <w:name w:val="List Number 4"/>
    <w:basedOn w:val="List4"/>
    <w:rsid w:val="00E16688"/>
    <w:pPr>
      <w:numPr>
        <w:numId w:val="6"/>
      </w:numPr>
    </w:pPr>
  </w:style>
  <w:style w:type="paragraph" w:styleId="ListNumber5">
    <w:name w:val="List Number 5"/>
    <w:basedOn w:val="List5"/>
    <w:rsid w:val="00E16688"/>
    <w:pPr>
      <w:numPr>
        <w:numId w:val="7"/>
      </w:numPr>
    </w:pPr>
  </w:style>
  <w:style w:type="paragraph" w:styleId="BlockText">
    <w:name w:val="Block Text"/>
    <w:basedOn w:val="Normal"/>
    <w:rsid w:val="00E16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688"/>
    <w:rPr>
      <w:sz w:val="16"/>
      <w:vertAlign w:val="superscript"/>
    </w:rPr>
  </w:style>
  <w:style w:type="character" w:customStyle="1" w:styleId="Symbols">
    <w:name w:val="Symbols"/>
    <w:basedOn w:val="DefaultParagraphFont"/>
    <w:rsid w:val="00E16688"/>
    <w:rPr>
      <w:rFonts w:ascii="Symbol" w:hAnsi="Symbol"/>
    </w:rPr>
  </w:style>
  <w:style w:type="character" w:customStyle="1" w:styleId="MenuOptions">
    <w:name w:val="Menu Options"/>
    <w:basedOn w:val="DefaultParagraphFont"/>
    <w:rsid w:val="00E16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688"/>
    <w:rPr>
      <w:b/>
    </w:rPr>
  </w:style>
  <w:style w:type="character" w:customStyle="1" w:styleId="Underlined">
    <w:name w:val="Underlined"/>
    <w:basedOn w:val="DefaultParagraphFont"/>
    <w:rsid w:val="00E16688"/>
    <w:rPr>
      <w:u w:val="single"/>
    </w:rPr>
  </w:style>
  <w:style w:type="paragraph" w:customStyle="1" w:styleId="TableBodyTextRight">
    <w:name w:val="Table Body Text Right"/>
    <w:basedOn w:val="TableBodyText"/>
    <w:rsid w:val="00E16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688"/>
    <w:rPr>
      <w:sz w:val="18"/>
    </w:rPr>
  </w:style>
  <w:style w:type="paragraph" w:customStyle="1" w:styleId="BodySmallRight">
    <w:name w:val="Body Small Right"/>
    <w:basedOn w:val="BodyTextRight"/>
    <w:rsid w:val="00E16688"/>
    <w:rPr>
      <w:sz w:val="18"/>
      <w:szCs w:val="18"/>
    </w:rPr>
  </w:style>
  <w:style w:type="paragraph" w:customStyle="1" w:styleId="MarginEdition">
    <w:name w:val="Margin Edition"/>
    <w:basedOn w:val="MarginNote"/>
    <w:rsid w:val="00E16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688"/>
    <w:rPr>
      <w:sz w:val="2"/>
      <w:szCs w:val="2"/>
    </w:rPr>
  </w:style>
  <w:style w:type="character" w:customStyle="1" w:styleId="Small">
    <w:name w:val="Small"/>
    <w:basedOn w:val="DefaultParagraphFont"/>
    <w:rsid w:val="00E16688"/>
    <w:rPr>
      <w:sz w:val="16"/>
    </w:rPr>
  </w:style>
  <w:style w:type="paragraph" w:customStyle="1" w:styleId="WideTable">
    <w:name w:val="Wide Table"/>
    <w:basedOn w:val="Normal"/>
    <w:rsid w:val="00E16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688"/>
  </w:style>
  <w:style w:type="paragraph" w:styleId="Quote">
    <w:name w:val="Quote"/>
    <w:basedOn w:val="Heading1"/>
    <w:link w:val="QuoteChar"/>
    <w:qFormat/>
    <w:rsid w:val="00E16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688"/>
    <w:pPr>
      <w:pageBreakBefore/>
    </w:pPr>
  </w:style>
  <w:style w:type="paragraph" w:customStyle="1" w:styleId="Border">
    <w:name w:val="Border"/>
    <w:basedOn w:val="Normal"/>
    <w:qFormat/>
    <w:rsid w:val="00E16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688"/>
    <w:rPr>
      <w:u w:val="single"/>
    </w:rPr>
  </w:style>
  <w:style w:type="character" w:customStyle="1" w:styleId="BoldandItalics">
    <w:name w:val="Bold and Italics"/>
    <w:qFormat/>
    <w:rsid w:val="00E16688"/>
    <w:rPr>
      <w:b/>
      <w:i/>
      <w:u w:val="none"/>
    </w:rPr>
  </w:style>
  <w:style w:type="paragraph" w:styleId="BalloonText">
    <w:name w:val="Balloon Text"/>
    <w:basedOn w:val="Normal"/>
    <w:link w:val="BalloonTextChar"/>
    <w:rsid w:val="00E16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688"/>
    <w:pPr>
      <w:spacing w:before="0" w:after="0"/>
    </w:pPr>
  </w:style>
  <w:style w:type="paragraph" w:customStyle="1" w:styleId="BodyTextBold">
    <w:name w:val="Body Text Bold"/>
    <w:basedOn w:val="BodyText"/>
    <w:qFormat/>
    <w:rsid w:val="00E16688"/>
    <w:rPr>
      <w:b/>
    </w:rPr>
  </w:style>
  <w:style w:type="character" w:styleId="Hyperlink">
    <w:name w:val="Hyperlink"/>
    <w:basedOn w:val="DefaultParagraphFont"/>
    <w:uiPriority w:val="99"/>
    <w:unhideWhenUsed/>
    <w:rsid w:val="00240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3245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CPPHES4002 Advise clients on thermal performance of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