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7F5" w:rsidP="003B5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CPPHES4001 Research and assess impact of building elements on thermal performance of residential buildings</w:t>
      </w:r>
      <w:r>
        <w:fldChar w:fldCharType="end"/>
      </w:r>
    </w:p>
    <w:p w:rsidR="003B57F5" w:rsidP="003B57F5">
      <w:pPr>
        <w:pStyle w:val="Version"/>
        <w:sectPr w:rsidSect="00A13C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3C25" w:rsidP="00A13C25">
      <w:pPr>
        <w:pStyle w:val="SuperHeading"/>
      </w:pPr>
      <w:r w:rsidRPr="00A13C25">
        <w:t>Assessment Requirements for CPPHES4001 Research and assess impact of building elements on thermal performance of residential buildings</w:t>
      </w:r>
    </w:p>
    <w:p w:rsidR="00000000" w:rsidRPr="00A13C25" w:rsidP="00A13C25">
      <w:pPr>
        <w:pStyle w:val="Heading1"/>
      </w:pPr>
      <w:bookmarkStart w:id="1" w:name="O_1186354"/>
      <w:bookmarkEnd w:id="1"/>
      <w:r w:rsidRPr="00A13C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3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25">
            <w:pPr>
              <w:pStyle w:val="BodyText"/>
              <w:rPr>
                <w:lang w:val="en-NZ"/>
              </w:rPr>
            </w:pPr>
            <w:r w:rsidRPr="00A13C2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25" w:rsidP="00A13C25">
            <w:pPr>
              <w:pStyle w:val="BodyText"/>
            </w:pPr>
            <w:r w:rsidRPr="00A13C25">
              <w:t>This version first released with CPP Property Services Training Package Release 14.0.</w:t>
            </w:r>
          </w:p>
          <w:p w:rsidR="00000000" w:rsidP="00A13C25">
            <w:pPr>
              <w:pStyle w:val="BodyText"/>
              <w:rPr>
                <w:lang w:val="en-NZ"/>
              </w:rPr>
            </w:pPr>
            <w:r w:rsidRPr="00A13C25">
              <w:t>Updated reference to reflect correction in Modification History from CPC Property Services 5.0 to CPP Property Services 9.0.</w:t>
            </w:r>
          </w:p>
        </w:tc>
      </w:tr>
      <w:tr w:rsidTr="00A13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25">
            <w:pPr>
              <w:pStyle w:val="BodyText"/>
              <w:rPr>
                <w:lang w:val="en-NZ"/>
              </w:rPr>
            </w:pPr>
            <w:r w:rsidRPr="00A13C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25" w:rsidP="00A13C25">
            <w:pPr>
              <w:pStyle w:val="BodyText"/>
            </w:pPr>
            <w:r w:rsidRPr="00A13C25">
              <w:t>This version first released with C</w:t>
            </w:r>
            <w:r w:rsidRPr="00A13C25">
              <w:t>PC Property Services Training Package Release 5.0.</w:t>
            </w:r>
          </w:p>
          <w:p w:rsidR="00000000" w:rsidRPr="00A13C25" w:rsidP="00A13C25">
            <w:pPr>
              <w:pStyle w:val="BodyText"/>
            </w:pPr>
            <w:r w:rsidRPr="00A13C25">
              <w:t>Supersedes and equivalent to CPPHSA4015A Assess impact of building elements on thermal performance of residential buildings.  Updated to meet the Standards for Training Packages.</w:t>
            </w:r>
          </w:p>
        </w:tc>
      </w:tr>
    </w:tbl>
    <w:p w:rsidR="00000000" w:rsidRPr="00A13C25" w:rsidP="00A13C25">
      <w:pPr>
        <w:pStyle w:val="BodyText"/>
      </w:pPr>
    </w:p>
    <w:p w:rsidR="00000000" w:rsidRPr="00A13C25" w:rsidP="00A13C25">
      <w:pPr>
        <w:pStyle w:val="AllowPageBreak"/>
      </w:pPr>
    </w:p>
    <w:p w:rsidR="00000000" w:rsidRPr="00A13C25" w:rsidP="00A13C25">
      <w:pPr>
        <w:pStyle w:val="Heading1"/>
      </w:pPr>
      <w:bookmarkStart w:id="2" w:name="O_1186353"/>
      <w:bookmarkEnd w:id="2"/>
      <w:r w:rsidRPr="00A13C25">
        <w:t>Perfo</w:t>
      </w:r>
      <w:r w:rsidRPr="00A13C25">
        <w:t>rmance Evidence</w:t>
      </w:r>
    </w:p>
    <w:p w:rsidR="00000000" w:rsidRPr="00A13C25" w:rsidP="003B57F5">
      <w:pPr>
        <w:pStyle w:val="BodyText"/>
      </w:pPr>
      <w:r w:rsidRPr="00A13C25">
        <w:t>To demonstrate competency, a candidate must meet the performance criteria of this unit by researching and documenting an assessment of the impact of building elements on thermal performance for three different residential buildings involvin</w:t>
      </w:r>
      <w:r w:rsidRPr="00A13C25">
        <w:t>g at least three of the following residential construction methods:</w:t>
      </w:r>
    </w:p>
    <w:p w:rsidR="00000000" w:rsidRPr="00A13C25" w:rsidP="00A13C25">
      <w:pPr>
        <w:pStyle w:val="ListBullet"/>
      </w:pPr>
      <w:r w:rsidRPr="00A13C25">
        <w:t>structurally insulated panels</w:t>
      </w:r>
    </w:p>
    <w:p w:rsidR="00000000" w:rsidRPr="00A13C25" w:rsidP="00A13C25">
      <w:pPr>
        <w:pStyle w:val="ListBullet"/>
      </w:pPr>
      <w:r w:rsidRPr="00A13C25">
        <w:t>pre-fabricated buildings</w:t>
      </w:r>
    </w:p>
    <w:p w:rsidR="00000000" w:rsidRPr="00A13C25" w:rsidP="00A13C25">
      <w:pPr>
        <w:pStyle w:val="ListBullet"/>
      </w:pPr>
      <w:r w:rsidRPr="00A13C25">
        <w:t>brick veneer</w:t>
      </w:r>
    </w:p>
    <w:p w:rsidR="00000000" w:rsidRPr="00A13C25" w:rsidP="00A13C25">
      <w:pPr>
        <w:pStyle w:val="ListBullet"/>
      </w:pPr>
      <w:r w:rsidRPr="00A13C25">
        <w:t>cavity brick</w:t>
      </w:r>
    </w:p>
    <w:p w:rsidR="00000000" w:rsidRPr="00A13C25" w:rsidP="00A13C25">
      <w:pPr>
        <w:pStyle w:val="ListBullet"/>
      </w:pPr>
      <w:r w:rsidRPr="00A13C25">
        <w:t>concrete block masonry</w:t>
      </w:r>
    </w:p>
    <w:p w:rsidR="00000000" w:rsidRPr="00A13C25" w:rsidP="00A13C25">
      <w:pPr>
        <w:pStyle w:val="ListBullet"/>
      </w:pPr>
      <w:r w:rsidRPr="00A13C25">
        <w:t>lightweight construction</w:t>
      </w:r>
    </w:p>
    <w:p w:rsidR="00000000" w:rsidRPr="00A13C25" w:rsidP="00A13C25">
      <w:pPr>
        <w:pStyle w:val="ListBullet"/>
      </w:pPr>
      <w:r w:rsidRPr="00A13C25">
        <w:t>reverse brick veneer.</w:t>
      </w:r>
    </w:p>
    <w:p w:rsidR="00000000" w:rsidRPr="00A13C25" w:rsidP="00A13C25">
      <w:pPr>
        <w:pStyle w:val="AllowPageBreak"/>
      </w:pPr>
    </w:p>
    <w:p w:rsidR="00000000" w:rsidRPr="00A13C25" w:rsidP="00A13C25">
      <w:pPr>
        <w:pStyle w:val="Heading1"/>
      </w:pPr>
      <w:bookmarkStart w:id="3" w:name="O_1186352"/>
      <w:bookmarkEnd w:id="3"/>
      <w:r w:rsidRPr="00A13C25">
        <w:t>Knowledge Evidence</w:t>
      </w:r>
    </w:p>
    <w:p w:rsidR="00000000" w:rsidRPr="00A13C25" w:rsidP="003B57F5">
      <w:pPr>
        <w:pStyle w:val="BodyText"/>
      </w:pPr>
      <w:r w:rsidRPr="00A13C25">
        <w:t>To be competent in this unit, a candidate must demonstrate knowledge of:</w:t>
      </w:r>
    </w:p>
    <w:p w:rsidR="00000000" w:rsidRPr="00A13C25" w:rsidP="00A13C25">
      <w:pPr>
        <w:pStyle w:val="ListBullet"/>
      </w:pPr>
      <w:r w:rsidRPr="00A13C25">
        <w:t>building design features that may influence the thermal performance of a building:</w:t>
      </w:r>
    </w:p>
    <w:p w:rsidR="00000000" w:rsidRPr="00A13C25" w:rsidP="00A13C25">
      <w:pPr>
        <w:pStyle w:val="ListBullet2"/>
      </w:pPr>
      <w:r w:rsidRPr="00A13C25">
        <w:t>wall type</w:t>
      </w:r>
    </w:p>
    <w:p w:rsidR="00000000" w:rsidRPr="00A13C25" w:rsidP="00A13C25">
      <w:pPr>
        <w:pStyle w:val="ListBullet2"/>
      </w:pPr>
      <w:r w:rsidRPr="00A13C25">
        <w:t>convection</w:t>
      </w:r>
    </w:p>
    <w:p w:rsidR="00000000" w:rsidRPr="00A13C25" w:rsidP="00A13C25">
      <w:pPr>
        <w:pStyle w:val="ListBullet2"/>
      </w:pPr>
      <w:r w:rsidRPr="00A13C25">
        <w:t>eaves</w:t>
      </w:r>
    </w:p>
    <w:p w:rsidR="00000000" w:rsidRPr="00A13C25" w:rsidP="00A13C25">
      <w:pPr>
        <w:pStyle w:val="ListBullet2"/>
      </w:pPr>
      <w:r w:rsidRPr="00A13C25">
        <w:t>floor types</w:t>
      </w:r>
    </w:p>
    <w:p w:rsidR="00000000" w:rsidRPr="00A13C25" w:rsidP="00A13C25">
      <w:pPr>
        <w:pStyle w:val="ListBullet2"/>
      </w:pPr>
      <w:r w:rsidRPr="00A13C25">
        <w:t>glazing and windows</w:t>
      </w:r>
    </w:p>
    <w:p w:rsidR="00000000" w:rsidRPr="00A13C25" w:rsidP="00A13C25">
      <w:pPr>
        <w:pStyle w:val="ListBullet2"/>
      </w:pPr>
      <w:r w:rsidRPr="00A13C25">
        <w:t>insulation</w:t>
      </w:r>
    </w:p>
    <w:p w:rsidR="00000000" w:rsidRPr="00A13C25" w:rsidP="00A13C25">
      <w:pPr>
        <w:pStyle w:val="ListBullet2"/>
      </w:pPr>
      <w:r w:rsidRPr="00A13C25">
        <w:t>landscaping</w:t>
      </w:r>
    </w:p>
    <w:p w:rsidR="00000000" w:rsidRPr="00A13C25" w:rsidP="00A13C25">
      <w:pPr>
        <w:pStyle w:val="ListBullet2"/>
      </w:pPr>
      <w:r w:rsidRPr="00A13C25">
        <w:t>materials</w:t>
      </w:r>
    </w:p>
    <w:p w:rsidR="00000000" w:rsidRPr="00A13C25" w:rsidP="00A13C25">
      <w:pPr>
        <w:pStyle w:val="ListBullet2"/>
      </w:pPr>
      <w:r w:rsidRPr="00A13C25">
        <w:t>orientation</w:t>
      </w:r>
    </w:p>
    <w:p w:rsidR="00000000" w:rsidRPr="00A13C25" w:rsidP="00A13C25">
      <w:pPr>
        <w:pStyle w:val="ListBullet2"/>
      </w:pPr>
      <w:r w:rsidRPr="00A13C25">
        <w:t>shading</w:t>
      </w:r>
    </w:p>
    <w:p w:rsidR="00000000" w:rsidRPr="00A13C25" w:rsidP="00A13C25">
      <w:pPr>
        <w:pStyle w:val="ListBullet2"/>
      </w:pPr>
      <w:r w:rsidRPr="00A13C25">
        <w:t>siting</w:t>
      </w:r>
    </w:p>
    <w:p w:rsidR="00000000" w:rsidRPr="00A13C25" w:rsidP="00A13C25">
      <w:pPr>
        <w:pStyle w:val="ListBullet2"/>
      </w:pPr>
      <w:r w:rsidRPr="00A13C25">
        <w:t>thermal mass</w:t>
      </w:r>
    </w:p>
    <w:p w:rsidR="00000000" w:rsidRPr="00A13C25" w:rsidP="00A13C25">
      <w:pPr>
        <w:pStyle w:val="ListBullet2"/>
      </w:pPr>
      <w:r w:rsidRPr="00A13C25">
        <w:t>ventilation</w:t>
      </w:r>
    </w:p>
    <w:p w:rsidR="00000000" w:rsidRPr="00A13C25" w:rsidP="00A13C25">
      <w:pPr>
        <w:pStyle w:val="ListBullet2"/>
      </w:pPr>
      <w:r w:rsidRPr="00A13C25">
        <w:t>zoning and layout</w:t>
      </w:r>
    </w:p>
    <w:p w:rsidR="00000000" w:rsidRPr="00A13C25" w:rsidP="00A13C25">
      <w:pPr>
        <w:pStyle w:val="ListBullet"/>
      </w:pPr>
      <w:r w:rsidRPr="00A13C25">
        <w:t>causes of and remedies for condensation</w:t>
      </w:r>
    </w:p>
    <w:p w:rsidR="00000000" w:rsidRPr="00A13C25" w:rsidP="00A13C25">
      <w:pPr>
        <w:pStyle w:val="ListBullet"/>
      </w:pPr>
      <w:r w:rsidRPr="00A13C25">
        <w:t>energy efficiency provisions of building regulations and the National Construction Code (NCC)</w:t>
      </w:r>
    </w:p>
    <w:p w:rsidR="00000000" w:rsidRPr="00A13C25" w:rsidP="00A13C25">
      <w:pPr>
        <w:pStyle w:val="ListBullet"/>
      </w:pPr>
      <w:r w:rsidRPr="00A13C25">
        <w:t>key components of the buildin</w:t>
      </w:r>
      <w:r w:rsidRPr="00A13C25">
        <w:t>g envelope</w:t>
      </w:r>
    </w:p>
    <w:p w:rsidR="00000000" w:rsidRPr="00A13C25" w:rsidP="00A13C25">
      <w:pPr>
        <w:pStyle w:val="ListBullet"/>
      </w:pPr>
      <w:r w:rsidRPr="00A13C25">
        <w:t>solar passive building design principles</w:t>
      </w:r>
    </w:p>
    <w:p w:rsidR="00000000" w:rsidRPr="00A13C25" w:rsidP="00A13C25">
      <w:pPr>
        <w:pStyle w:val="ListBullet"/>
      </w:pPr>
      <w:r w:rsidRPr="00A13C25">
        <w:t>passive house building design principles</w:t>
      </w:r>
    </w:p>
    <w:p w:rsidR="00000000" w:rsidRPr="00A13C25" w:rsidP="00A13C25">
      <w:pPr>
        <w:pStyle w:val="ListBullet"/>
      </w:pPr>
      <w:r w:rsidRPr="00A13C25">
        <w:t>properties of building materials that can influence thermal performance:</w:t>
      </w:r>
    </w:p>
    <w:p w:rsidR="00000000" w:rsidRPr="00A13C25" w:rsidP="00A13C25">
      <w:pPr>
        <w:pStyle w:val="ListBullet2"/>
      </w:pPr>
      <w:r w:rsidRPr="00A13C25">
        <w:t>emissivity</w:t>
      </w:r>
    </w:p>
    <w:p w:rsidR="00000000" w:rsidRPr="00A13C25" w:rsidP="00A13C25">
      <w:pPr>
        <w:pStyle w:val="ListBullet2"/>
      </w:pPr>
      <w:r w:rsidRPr="00A13C25">
        <w:t>R-value</w:t>
      </w:r>
    </w:p>
    <w:p w:rsidR="00000000" w:rsidRPr="00A13C25" w:rsidP="00A13C25">
      <w:pPr>
        <w:pStyle w:val="ListBullet2"/>
      </w:pPr>
      <w:r w:rsidRPr="00A13C25">
        <w:t>reflectivity</w:t>
      </w:r>
    </w:p>
    <w:p w:rsidR="00000000" w:rsidRPr="00A13C25" w:rsidP="00A13C25">
      <w:pPr>
        <w:pStyle w:val="ListBullet2"/>
      </w:pPr>
      <w:r w:rsidRPr="00A13C25">
        <w:t>solar absorptance</w:t>
      </w:r>
    </w:p>
    <w:p w:rsidR="00000000" w:rsidRPr="00A13C25" w:rsidP="00A13C25">
      <w:pPr>
        <w:pStyle w:val="ListBullet2"/>
      </w:pPr>
      <w:r w:rsidRPr="00A13C25">
        <w:t>U-value</w:t>
      </w:r>
    </w:p>
    <w:p w:rsidR="00000000" w:rsidRPr="00A13C25" w:rsidP="00A13C25">
      <w:pPr>
        <w:pStyle w:val="ListBullet"/>
      </w:pPr>
      <w:r w:rsidRPr="00A13C25">
        <w:t>properties of glazing units that can influence thermal performance:</w:t>
      </w:r>
    </w:p>
    <w:p w:rsidR="00000000" w:rsidRPr="00A13C25" w:rsidP="00A13C25">
      <w:pPr>
        <w:pStyle w:val="ListBullet2"/>
      </w:pPr>
      <w:r w:rsidRPr="00A13C25">
        <w:t>solar heat gain coefficient</w:t>
      </w:r>
    </w:p>
    <w:p w:rsidR="00000000" w:rsidRPr="00A13C25" w:rsidP="00A13C25">
      <w:pPr>
        <w:pStyle w:val="ListBullet2"/>
      </w:pPr>
      <w:r w:rsidRPr="00A13C25">
        <w:t>U-value</w:t>
      </w:r>
    </w:p>
    <w:p w:rsidR="00000000" w:rsidRPr="00A13C25" w:rsidP="00A13C25">
      <w:pPr>
        <w:pStyle w:val="ListBullet2"/>
      </w:pPr>
      <w:r w:rsidRPr="00A13C25">
        <w:t>visible light transmission</w:t>
      </w:r>
    </w:p>
    <w:p w:rsidR="00000000" w:rsidRPr="00A13C25" w:rsidP="00A13C25">
      <w:pPr>
        <w:pStyle w:val="ListBullet"/>
      </w:pPr>
      <w:r w:rsidRPr="00A13C25">
        <w:t>types of building construction materials used in residential buildings:</w:t>
      </w:r>
    </w:p>
    <w:p w:rsidR="00000000" w:rsidRPr="00A13C25" w:rsidP="00A13C25">
      <w:pPr>
        <w:pStyle w:val="ListBullet2"/>
      </w:pPr>
      <w:r w:rsidRPr="00A13C25">
        <w:t>correct industry terminologies</w:t>
      </w:r>
    </w:p>
    <w:p w:rsidR="00000000" w:rsidRPr="00A13C25" w:rsidP="00A13C25">
      <w:pPr>
        <w:pStyle w:val="ListBullet2"/>
      </w:pPr>
      <w:r w:rsidRPr="00A13C25">
        <w:t>sources of informat</w:t>
      </w:r>
      <w:r w:rsidRPr="00A13C25">
        <w:t>ion on their thermal performance</w:t>
      </w:r>
    </w:p>
    <w:p w:rsidR="00000000" w:rsidRPr="00A13C25" w:rsidP="00A13C25">
      <w:pPr>
        <w:pStyle w:val="ListBullet"/>
      </w:pPr>
      <w:r w:rsidRPr="00A13C25">
        <w:t>types of building defects, poor construction techniques and condition of building elements that can impact on the thermal performance of residential buildings:</w:t>
      </w:r>
    </w:p>
    <w:p w:rsidR="00000000" w:rsidRPr="00A13C25" w:rsidP="00A13C25">
      <w:pPr>
        <w:pStyle w:val="ListBullet2"/>
      </w:pPr>
      <w:r w:rsidRPr="00A13C25">
        <w:t xml:space="preserve">condensation </w:t>
      </w:r>
    </w:p>
    <w:p w:rsidR="00000000" w:rsidRPr="00A13C25" w:rsidP="00A13C25">
      <w:pPr>
        <w:pStyle w:val="ListBullet"/>
      </w:pPr>
      <w:r w:rsidRPr="00A13C25">
        <w:t>methods for testing building envelop efficienc</w:t>
      </w:r>
      <w:r w:rsidRPr="00A13C25">
        <w:t xml:space="preserve">y: </w:t>
      </w:r>
    </w:p>
    <w:p w:rsidR="00000000" w:rsidRPr="00A13C25" w:rsidP="00A13C25">
      <w:pPr>
        <w:pStyle w:val="ListBullet2"/>
      </w:pPr>
      <w:r w:rsidRPr="00A13C25">
        <w:t>blower door testing</w:t>
      </w:r>
    </w:p>
    <w:p w:rsidR="00000000" w:rsidRPr="00A13C25" w:rsidP="00A13C25">
      <w:pPr>
        <w:pStyle w:val="ListBullet2"/>
      </w:pPr>
      <w:r w:rsidRPr="00A13C25">
        <w:t xml:space="preserve">thermal imaging </w:t>
      </w:r>
    </w:p>
    <w:p w:rsidR="00000000" w:rsidRPr="00A13C25" w:rsidP="00A13C25">
      <w:pPr>
        <w:pStyle w:val="ListBullet"/>
      </w:pPr>
      <w:r w:rsidRPr="00A13C25">
        <w:t>types of residential building construction methods:</w:t>
      </w:r>
    </w:p>
    <w:p w:rsidR="00000000" w:rsidRPr="00A13C25" w:rsidP="00A13C25">
      <w:pPr>
        <w:pStyle w:val="ListBullet2"/>
      </w:pPr>
      <w:r w:rsidRPr="00A13C25">
        <w:t>materials used</w:t>
      </w:r>
    </w:p>
    <w:p w:rsidR="00000000" w:rsidRPr="00A13C25" w:rsidP="00A13C25">
      <w:pPr>
        <w:pStyle w:val="ListBullet2"/>
      </w:pPr>
      <w:r w:rsidRPr="00A13C25">
        <w:t>benefits and limitations</w:t>
      </w:r>
    </w:p>
    <w:p w:rsidR="00000000" w:rsidRPr="00A13C25" w:rsidP="00A13C25">
      <w:pPr>
        <w:pStyle w:val="ListBullet2"/>
      </w:pPr>
      <w:r w:rsidRPr="00A13C25">
        <w:t>implications for thermal performance.</w:t>
      </w:r>
    </w:p>
    <w:p w:rsidR="00000000" w:rsidRPr="00A13C25" w:rsidP="00A13C25">
      <w:pPr>
        <w:pStyle w:val="AllowPageBreak"/>
      </w:pPr>
    </w:p>
    <w:p w:rsidR="00000000" w:rsidRPr="00A13C25" w:rsidP="00A13C25">
      <w:pPr>
        <w:pStyle w:val="Heading1"/>
      </w:pPr>
      <w:bookmarkStart w:id="4" w:name="O_1186351"/>
      <w:bookmarkEnd w:id="4"/>
      <w:r w:rsidRPr="00A13C25">
        <w:t>Assessment Conditions</w:t>
      </w:r>
    </w:p>
    <w:p w:rsidR="00000000" w:rsidRPr="00A13C25" w:rsidP="003B57F5">
      <w:pPr>
        <w:pStyle w:val="BodyText"/>
      </w:pPr>
      <w:r w:rsidRPr="00A13C25">
        <w:t>Assessors must meet the requirements for assessors contained in the Standards for Registered Training Organisations.</w:t>
      </w:r>
    </w:p>
    <w:p w:rsidR="00000000" w:rsidRPr="00A13C25" w:rsidP="003B57F5">
      <w:pPr>
        <w:pStyle w:val="BodyText"/>
      </w:pPr>
      <w:r w:rsidRPr="00A13C25">
        <w:t>This unit must be assessed in the workplace or a close simulation using realistic workplace conditions, materials, activities, responsibili</w:t>
      </w:r>
      <w:r w:rsidRPr="00A13C25">
        <w:t xml:space="preserve">ties, procedures, safety requirements and environmental considerations. </w:t>
      </w:r>
    </w:p>
    <w:p w:rsidR="00000000" w:rsidRPr="00A13C25" w:rsidP="003B57F5">
      <w:pPr>
        <w:pStyle w:val="BodyText"/>
      </w:pPr>
      <w:r w:rsidRPr="00A13C25">
        <w:t>Candidates must have access to:</w:t>
      </w:r>
    </w:p>
    <w:p w:rsidR="00000000" w:rsidRPr="00A13C25" w:rsidP="00A13C25">
      <w:pPr>
        <w:pStyle w:val="ListBullet"/>
      </w:pPr>
      <w:r w:rsidRPr="00A13C25">
        <w:t>documentation associated with residential buildings and building products and materials to allow achievement of the performance evidence</w:t>
      </w:r>
    </w:p>
    <w:p w:rsidR="00000000" w:rsidRPr="00A13C25" w:rsidP="00A13C25">
      <w:pPr>
        <w:pStyle w:val="ListBullet"/>
      </w:pPr>
      <w:r w:rsidRPr="00A13C25">
        <w:t>building code</w:t>
      </w:r>
      <w:r w:rsidRPr="00A13C25">
        <w:t>s, standards and regulations including the NCC</w:t>
      </w:r>
    </w:p>
    <w:p w:rsidR="00000000" w:rsidRPr="00A13C25" w:rsidP="00A13C25">
      <w:pPr>
        <w:pStyle w:val="ListBullet"/>
      </w:pPr>
      <w:r w:rsidRPr="00A13C25">
        <w:t>computer equipment and software suitable for accessing online catalogues and references to source information on the thermal performance of building products and materials</w:t>
      </w:r>
    </w:p>
    <w:p w:rsidR="00000000" w:rsidRPr="00A13C25" w:rsidP="00A13C25">
      <w:pPr>
        <w:pStyle w:val="ListBullet"/>
      </w:pPr>
      <w:r w:rsidRPr="00A13C25">
        <w:t>reference materials and/or computer equipment to access current information on the thermal performance of building products and materials including:</w:t>
      </w:r>
    </w:p>
    <w:p w:rsidR="00000000" w:rsidRPr="00A13C25" w:rsidP="00A13C25">
      <w:pPr>
        <w:pStyle w:val="ListBullet2"/>
      </w:pPr>
      <w:r w:rsidRPr="00A13C25">
        <w:t>solar passive building design</w:t>
      </w:r>
    </w:p>
    <w:p w:rsidR="00000000" w:rsidRPr="00A13C25" w:rsidP="00A13C25">
      <w:pPr>
        <w:pStyle w:val="ListBullet2"/>
      </w:pPr>
      <w:r w:rsidRPr="00A13C25">
        <w:t>passive house building design</w:t>
      </w:r>
    </w:p>
    <w:p w:rsidR="00000000" w:rsidRPr="00A13C25" w:rsidP="00A13C25">
      <w:pPr>
        <w:pStyle w:val="ListBullet2"/>
      </w:pPr>
      <w:r w:rsidRPr="00A13C25">
        <w:t xml:space="preserve">thermal performance of building materials and </w:t>
      </w:r>
      <w:r w:rsidRPr="00A13C25">
        <w:t>construction methods</w:t>
      </w:r>
    </w:p>
    <w:p w:rsidR="00000000" w:rsidRPr="00A13C25" w:rsidP="00A13C25">
      <w:pPr>
        <w:pStyle w:val="ListBullet2"/>
      </w:pPr>
      <w:r w:rsidRPr="00A13C25">
        <w:t>building envelope thermal performance</w:t>
      </w:r>
    </w:p>
    <w:p w:rsidR="00000000" w:rsidRPr="00A13C25" w:rsidP="00A13C25">
      <w:pPr>
        <w:pStyle w:val="ListBullet2"/>
      </w:pPr>
      <w:r w:rsidRPr="00A13C25">
        <w:t xml:space="preserve">common building defects including condensation </w:t>
      </w:r>
    </w:p>
    <w:p w:rsidR="00000000" w:rsidRPr="00A13C25" w:rsidP="00A13C25">
      <w:pPr>
        <w:pStyle w:val="ListBullet2"/>
      </w:pPr>
      <w:r w:rsidRPr="00A13C25">
        <w:t>house energy rating schemes</w:t>
      </w:r>
    </w:p>
    <w:p w:rsidR="00000000" w:rsidRPr="00A13C25" w:rsidP="00A13C25">
      <w:pPr>
        <w:pStyle w:val="ListBullet2"/>
      </w:pPr>
      <w:r w:rsidRPr="00A13C25">
        <w:t>blower door testing and thermal imaging</w:t>
      </w:r>
    </w:p>
    <w:p w:rsidR="00000000" w:rsidRPr="00A13C25" w:rsidP="00A13C25">
      <w:pPr>
        <w:pStyle w:val="ListBullet2"/>
      </w:pPr>
      <w:r w:rsidRPr="00A13C25">
        <w:t>manufacturers’ product information on building products and materials.</w:t>
      </w:r>
    </w:p>
    <w:p w:rsidR="00000000" w:rsidRPr="00A13C25" w:rsidP="00A13C25">
      <w:pPr>
        <w:pStyle w:val="AllowPageBreak"/>
      </w:pPr>
    </w:p>
    <w:p w:rsidR="00000000" w:rsidRPr="00A13C25" w:rsidP="00A13C25">
      <w:pPr>
        <w:pStyle w:val="Heading1"/>
      </w:pPr>
      <w:bookmarkStart w:id="5" w:name="O_1186364"/>
      <w:bookmarkEnd w:id="5"/>
      <w:r w:rsidRPr="00A13C25">
        <w:t>Links</w:t>
      </w:r>
    </w:p>
    <w:p w:rsidR="00000000" w:rsidRPr="00A13C25" w:rsidP="003B57F5">
      <w:pPr>
        <w:pStyle w:val="BodyText"/>
      </w:pPr>
      <w:r w:rsidRPr="00A13C2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632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13C25" w:rsidP="00A13C25"/>
    <w:sectPr w:rsidSect="00A13C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5" w:rsidRPr="003B57F5" w:rsidP="003B5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F5" w:rsidP="00A13C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7F5" w:rsidP="00A13C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B57F5" w:rsidP="00A13C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C25" w:rsidRPr="003B57F5" w:rsidP="003B5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F5" w:rsidRPr="002D2AF8" w:rsidP="00A13C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CPPHES4001 Research and assess impact of building elements on thermal performance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B57F5" w:rsidP="00A13C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027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07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34B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C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C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C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C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C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C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C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C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C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C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C25"/>
  </w:style>
  <w:style w:type="character" w:customStyle="1" w:styleId="Heading1Char">
    <w:name w:val="Heading 1 Char"/>
    <w:basedOn w:val="DefaultParagraphFont"/>
    <w:link w:val="Heading1"/>
    <w:rsid w:val="00A13C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C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C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C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C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C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C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C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C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C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C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C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C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C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C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C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C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C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C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C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C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C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C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C25"/>
    <w:rPr>
      <w:b/>
      <w:spacing w:val="0"/>
    </w:rPr>
  </w:style>
  <w:style w:type="paragraph" w:customStyle="1" w:styleId="SuperTitle">
    <w:name w:val="SuperTitle"/>
    <w:basedOn w:val="Title"/>
    <w:rsid w:val="00A13C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C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C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C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C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C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C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C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C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C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C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C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C25"/>
    <w:rPr>
      <w:i/>
    </w:rPr>
  </w:style>
  <w:style w:type="paragraph" w:styleId="Caption">
    <w:name w:val="caption"/>
    <w:basedOn w:val="BodyText"/>
    <w:next w:val="Normal"/>
    <w:qFormat/>
    <w:rsid w:val="00A13C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C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C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C25"/>
  </w:style>
  <w:style w:type="paragraph" w:styleId="TableofFigures">
    <w:name w:val="table of figures"/>
    <w:basedOn w:val="Normal"/>
    <w:next w:val="Normal"/>
    <w:semiHidden/>
    <w:rsid w:val="00A13C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C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C25"/>
    <w:rPr>
      <w:rFonts w:ascii="Wingdings" w:hAnsi="Wingdings"/>
    </w:rPr>
  </w:style>
  <w:style w:type="paragraph" w:customStyle="1" w:styleId="TableHeading">
    <w:name w:val="Table Heading"/>
    <w:basedOn w:val="HeadingBase"/>
    <w:rsid w:val="00A13C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C25"/>
    <w:rPr>
      <w:color w:val="0033CC"/>
      <w:u w:val="none"/>
    </w:rPr>
  </w:style>
  <w:style w:type="paragraph" w:customStyle="1" w:styleId="BodyTextRight">
    <w:name w:val="Body Text Right"/>
    <w:basedOn w:val="BodyText"/>
    <w:rsid w:val="00A13C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C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C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C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C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C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C25"/>
    <w:rPr>
      <w:sz w:val="32"/>
    </w:rPr>
  </w:style>
  <w:style w:type="paragraph" w:customStyle="1" w:styleId="HeadingProcedure">
    <w:name w:val="Heading Procedure"/>
    <w:basedOn w:val="HeadingBase"/>
    <w:next w:val="Normal"/>
    <w:rsid w:val="00A13C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C25"/>
    <w:pPr>
      <w:spacing w:before="60" w:after="60"/>
    </w:pPr>
  </w:style>
  <w:style w:type="paragraph" w:styleId="ListContinue">
    <w:name w:val="List Continue"/>
    <w:basedOn w:val="List"/>
    <w:rsid w:val="00A13C25"/>
    <w:pPr>
      <w:ind w:firstLine="0"/>
    </w:pPr>
  </w:style>
  <w:style w:type="paragraph" w:customStyle="1" w:styleId="ListNote">
    <w:name w:val="List Note"/>
    <w:basedOn w:val="List"/>
    <w:rsid w:val="00A13C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C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C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C25"/>
    <w:rPr>
      <w:rFonts w:ascii="Courier New" w:hAnsi="Courier New"/>
    </w:rPr>
  </w:style>
  <w:style w:type="paragraph" w:customStyle="1" w:styleId="NoteBullet">
    <w:name w:val="Note Bullet"/>
    <w:basedOn w:val="Note"/>
    <w:rsid w:val="00A13C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C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C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C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C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C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C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C25"/>
    <w:rPr>
      <w:b/>
      <w:smallCaps/>
    </w:rPr>
  </w:style>
  <w:style w:type="paragraph" w:customStyle="1" w:styleId="TableListNumber">
    <w:name w:val="Table List Number"/>
    <w:basedOn w:val="ListNumber"/>
    <w:rsid w:val="00A13C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C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C25"/>
    <w:pPr>
      <w:numPr>
        <w:numId w:val="9"/>
      </w:numPr>
    </w:pPr>
  </w:style>
  <w:style w:type="paragraph" w:customStyle="1" w:styleId="ListAlpha2">
    <w:name w:val="List Alpha 2"/>
    <w:basedOn w:val="List2"/>
    <w:rsid w:val="00A13C25"/>
    <w:pPr>
      <w:numPr>
        <w:numId w:val="8"/>
      </w:numPr>
    </w:pPr>
  </w:style>
  <w:style w:type="paragraph" w:styleId="List2">
    <w:name w:val="List 2"/>
    <w:basedOn w:val="BodyText"/>
    <w:rsid w:val="00A13C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C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C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C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C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C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C25"/>
    <w:pPr>
      <w:numPr>
        <w:numId w:val="4"/>
      </w:numPr>
    </w:pPr>
  </w:style>
  <w:style w:type="paragraph" w:styleId="ListContinue2">
    <w:name w:val="List Continue 2"/>
    <w:basedOn w:val="List2"/>
    <w:rsid w:val="00A13C25"/>
    <w:pPr>
      <w:ind w:firstLine="0"/>
    </w:pPr>
  </w:style>
  <w:style w:type="paragraph" w:styleId="ListContinue3">
    <w:name w:val="List Continue 3"/>
    <w:basedOn w:val="List3"/>
    <w:rsid w:val="00A13C25"/>
    <w:pPr>
      <w:ind w:left="1021" w:firstLine="0"/>
    </w:pPr>
  </w:style>
  <w:style w:type="paragraph" w:styleId="ListContinue4">
    <w:name w:val="List Continue 4"/>
    <w:basedOn w:val="List4"/>
    <w:rsid w:val="00A13C25"/>
    <w:pPr>
      <w:ind w:firstLine="0"/>
    </w:pPr>
  </w:style>
  <w:style w:type="paragraph" w:styleId="ListContinue5">
    <w:name w:val="List Continue 5"/>
    <w:basedOn w:val="List5"/>
    <w:rsid w:val="00A13C25"/>
    <w:pPr>
      <w:ind w:firstLine="0"/>
    </w:pPr>
  </w:style>
  <w:style w:type="paragraph" w:styleId="ListNumber3">
    <w:name w:val="List Number 3"/>
    <w:basedOn w:val="List3"/>
    <w:rsid w:val="00A13C25"/>
    <w:pPr>
      <w:numPr>
        <w:numId w:val="5"/>
      </w:numPr>
    </w:pPr>
  </w:style>
  <w:style w:type="paragraph" w:styleId="ListNumber4">
    <w:name w:val="List Number 4"/>
    <w:basedOn w:val="List4"/>
    <w:rsid w:val="00A13C25"/>
    <w:pPr>
      <w:numPr>
        <w:numId w:val="6"/>
      </w:numPr>
    </w:pPr>
  </w:style>
  <w:style w:type="paragraph" w:styleId="ListNumber5">
    <w:name w:val="List Number 5"/>
    <w:basedOn w:val="List5"/>
    <w:rsid w:val="00A13C25"/>
    <w:pPr>
      <w:numPr>
        <w:numId w:val="7"/>
      </w:numPr>
    </w:pPr>
  </w:style>
  <w:style w:type="paragraph" w:styleId="BlockText">
    <w:name w:val="Block Text"/>
    <w:basedOn w:val="Normal"/>
    <w:rsid w:val="00A13C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C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C25"/>
    <w:rPr>
      <w:sz w:val="16"/>
      <w:vertAlign w:val="superscript"/>
    </w:rPr>
  </w:style>
  <w:style w:type="character" w:customStyle="1" w:styleId="Symbols">
    <w:name w:val="Symbols"/>
    <w:basedOn w:val="DefaultParagraphFont"/>
    <w:rsid w:val="00A13C25"/>
    <w:rPr>
      <w:rFonts w:ascii="Symbol" w:hAnsi="Symbol"/>
    </w:rPr>
  </w:style>
  <w:style w:type="character" w:customStyle="1" w:styleId="MenuOptions">
    <w:name w:val="Menu Options"/>
    <w:basedOn w:val="DefaultParagraphFont"/>
    <w:rsid w:val="00A13C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C25"/>
    <w:rPr>
      <w:b/>
    </w:rPr>
  </w:style>
  <w:style w:type="character" w:customStyle="1" w:styleId="Underlined">
    <w:name w:val="Underlined"/>
    <w:basedOn w:val="DefaultParagraphFont"/>
    <w:rsid w:val="00A13C25"/>
    <w:rPr>
      <w:u w:val="single"/>
    </w:rPr>
  </w:style>
  <w:style w:type="paragraph" w:customStyle="1" w:styleId="TableBodyTextRight">
    <w:name w:val="Table Body Text Right"/>
    <w:basedOn w:val="TableBodyText"/>
    <w:rsid w:val="00A13C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C25"/>
    <w:rPr>
      <w:sz w:val="18"/>
    </w:rPr>
  </w:style>
  <w:style w:type="paragraph" w:customStyle="1" w:styleId="BodySmallRight">
    <w:name w:val="Body Small Right"/>
    <w:basedOn w:val="BodyTextRight"/>
    <w:rsid w:val="00A13C25"/>
    <w:rPr>
      <w:sz w:val="18"/>
      <w:szCs w:val="18"/>
    </w:rPr>
  </w:style>
  <w:style w:type="paragraph" w:customStyle="1" w:styleId="MarginEdition">
    <w:name w:val="Margin Edition"/>
    <w:basedOn w:val="MarginNote"/>
    <w:rsid w:val="00A13C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C25"/>
    <w:rPr>
      <w:sz w:val="2"/>
      <w:szCs w:val="2"/>
    </w:rPr>
  </w:style>
  <w:style w:type="character" w:customStyle="1" w:styleId="Small">
    <w:name w:val="Small"/>
    <w:basedOn w:val="DefaultParagraphFont"/>
    <w:rsid w:val="00A13C25"/>
    <w:rPr>
      <w:sz w:val="16"/>
    </w:rPr>
  </w:style>
  <w:style w:type="paragraph" w:customStyle="1" w:styleId="WideTable">
    <w:name w:val="Wide Table"/>
    <w:basedOn w:val="Normal"/>
    <w:rsid w:val="00A13C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C25"/>
  </w:style>
  <w:style w:type="paragraph" w:styleId="Quote">
    <w:name w:val="Quote"/>
    <w:basedOn w:val="Heading1"/>
    <w:link w:val="QuoteChar"/>
    <w:qFormat/>
    <w:rsid w:val="00A13C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C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C25"/>
    <w:pPr>
      <w:pageBreakBefore/>
    </w:pPr>
  </w:style>
  <w:style w:type="paragraph" w:customStyle="1" w:styleId="Border">
    <w:name w:val="Border"/>
    <w:basedOn w:val="Normal"/>
    <w:qFormat/>
    <w:rsid w:val="00A13C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C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C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C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C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C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C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C25"/>
    <w:rPr>
      <w:u w:val="single"/>
    </w:rPr>
  </w:style>
  <w:style w:type="character" w:customStyle="1" w:styleId="BoldandItalics">
    <w:name w:val="Bold and Italics"/>
    <w:qFormat/>
    <w:rsid w:val="00A13C25"/>
    <w:rPr>
      <w:b/>
      <w:i/>
      <w:u w:val="none"/>
    </w:rPr>
  </w:style>
  <w:style w:type="paragraph" w:styleId="BalloonText">
    <w:name w:val="Balloon Text"/>
    <w:basedOn w:val="Normal"/>
    <w:link w:val="BalloonTextChar"/>
    <w:rsid w:val="00A13C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C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C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C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C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C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C25"/>
    <w:pPr>
      <w:spacing w:before="0" w:after="0"/>
    </w:pPr>
  </w:style>
  <w:style w:type="paragraph" w:customStyle="1" w:styleId="BodyTextBold">
    <w:name w:val="Body Text Bold"/>
    <w:basedOn w:val="BodyText"/>
    <w:qFormat/>
    <w:rsid w:val="00A13C25"/>
    <w:rPr>
      <w:b/>
    </w:rPr>
  </w:style>
  <w:style w:type="character" w:styleId="Hyperlink">
    <w:name w:val="Hyperlink"/>
    <w:basedOn w:val="DefaultParagraphFont"/>
    <w:uiPriority w:val="99"/>
    <w:unhideWhenUsed/>
    <w:rsid w:val="003B5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3743</Characters>
  <Application>Microsoft Office Word</Application>
  <DocSecurity>0</DocSecurity>
  <Lines>113</Lines>
  <Paragraphs>95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CPPHES4001 Research and assess impact of building elements on thermal performance of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