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0D8F" w:rsidP="00690D8F">
      <w:pPr>
        <w:pStyle w:val="Title"/>
      </w:pPr>
      <w:r>
        <w:fldChar w:fldCharType="begin"/>
      </w:r>
      <w:r>
        <w:instrText xml:space="preserve"> TITLE   \* MERGEFORMAT </w:instrText>
      </w:r>
      <w:r>
        <w:fldChar w:fldCharType="separate"/>
      </w:r>
      <w:r>
        <w:t>CPPFES3046 Decommission gaseous agent containers and actuators</w:t>
      </w:r>
      <w:r>
        <w:fldChar w:fldCharType="end"/>
      </w:r>
    </w:p>
    <w:p w:rsidR="00690D8F" w:rsidP="00690D8F">
      <w:pPr>
        <w:pStyle w:val="Version"/>
        <w:sectPr w:rsidSect="008921B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21B4" w:rsidP="008921B4">
      <w:pPr>
        <w:pStyle w:val="SuperHeading"/>
      </w:pPr>
      <w:r w:rsidRPr="008921B4">
        <w:t>CPPFES3046 Decommission gaseous agent containers and actuators</w:t>
      </w:r>
    </w:p>
    <w:p w:rsidR="00000000" w:rsidRPr="008921B4" w:rsidP="008921B4">
      <w:pPr>
        <w:pStyle w:val="Heading1"/>
      </w:pPr>
      <w:bookmarkStart w:id="1" w:name="O_1163795"/>
      <w:bookmarkEnd w:id="1"/>
      <w:r w:rsidRPr="008921B4">
        <w:t>Modification History</w:t>
      </w:r>
    </w:p>
    <w:tbl>
      <w:tblPr>
        <w:tblW w:w="0" w:type="auto"/>
        <w:tblLayout w:type="fixed"/>
        <w:tblCellMar>
          <w:left w:w="62" w:type="dxa"/>
          <w:right w:w="62" w:type="dxa"/>
        </w:tblCellMar>
        <w:tblLook w:val="0000"/>
      </w:tblPr>
      <w:tblGrid>
        <w:gridCol w:w="1305"/>
        <w:gridCol w:w="7597"/>
      </w:tblGrid>
      <w:tr w:rsidTr="008921B4">
        <w:tblPrEx>
          <w:tblW w:w="0" w:type="auto"/>
          <w:tblLayout w:type="fixed"/>
          <w:tblCellMar>
            <w:left w:w="62" w:type="dxa"/>
            <w:right w:w="62" w:type="dxa"/>
          </w:tblCellMar>
          <w:tblLook w:val="0000"/>
        </w:tblPrEx>
        <w:tc>
          <w:tcPr>
            <w:tcW w:w="1305" w:type="dxa"/>
            <w:tcBorders>
              <w:top w:val="nil"/>
              <w:left w:val="nil"/>
              <w:bottom w:val="nil"/>
              <w:right w:val="nil"/>
            </w:tcBorders>
            <w:tcMar>
              <w:top w:w="0" w:type="dxa"/>
              <w:left w:w="62" w:type="dxa"/>
              <w:bottom w:w="0" w:type="dxa"/>
              <w:right w:w="62" w:type="dxa"/>
            </w:tcMar>
          </w:tcPr>
          <w:p w:rsidR="00000000" w:rsidP="008921B4">
            <w:pPr>
              <w:pStyle w:val="BodyText"/>
              <w:rPr>
                <w:lang w:val="en-NZ"/>
              </w:rPr>
            </w:pPr>
            <w:r w:rsidRPr="008921B4">
              <w:t>Release 1</w:t>
            </w:r>
          </w:p>
        </w:tc>
        <w:tc>
          <w:tcPr>
            <w:tcW w:w="7597" w:type="dxa"/>
            <w:tcBorders>
              <w:top w:val="nil"/>
              <w:left w:val="nil"/>
              <w:bottom w:val="nil"/>
              <w:right w:val="nil"/>
            </w:tcBorders>
            <w:tcMar>
              <w:top w:w="0" w:type="dxa"/>
              <w:left w:w="62" w:type="dxa"/>
              <w:bottom w:w="0" w:type="dxa"/>
              <w:right w:w="62" w:type="dxa"/>
            </w:tcMar>
          </w:tcPr>
          <w:p w:rsidR="00000000" w:rsidRPr="008921B4" w:rsidP="008921B4">
            <w:pPr>
              <w:pStyle w:val="BodyText"/>
            </w:pPr>
            <w:r w:rsidRPr="008921B4">
              <w:t>This version first released with CPP Property Services Training Package Release 13.0.</w:t>
            </w:r>
          </w:p>
          <w:p w:rsidR="00000000" w:rsidRPr="008921B4" w:rsidP="008921B4">
            <w:pPr>
              <w:pStyle w:val="BodyText"/>
            </w:pPr>
            <w:r w:rsidRPr="008921B4">
              <w:t>Supersedes and is equivalent to CPPFES3046A Decommission gaseous agent containers and actuators.  Unit updated to meet the Standards for Training Packages 2012.</w:t>
            </w:r>
          </w:p>
        </w:tc>
      </w:tr>
    </w:tbl>
    <w:p w:rsidR="00000000" w:rsidRPr="008921B4" w:rsidP="008921B4">
      <w:pPr>
        <w:pStyle w:val="BodyText"/>
      </w:pPr>
    </w:p>
    <w:p w:rsidR="00000000" w:rsidRPr="008921B4" w:rsidP="008921B4">
      <w:pPr>
        <w:pStyle w:val="AllowPageBreak"/>
      </w:pPr>
    </w:p>
    <w:p w:rsidR="00000000" w:rsidRPr="008921B4" w:rsidP="008921B4">
      <w:pPr>
        <w:pStyle w:val="Heading1"/>
      </w:pPr>
      <w:bookmarkStart w:id="2" w:name="O_1163801"/>
      <w:bookmarkEnd w:id="2"/>
      <w:r w:rsidRPr="008921B4">
        <w:t>Application</w:t>
      </w:r>
    </w:p>
    <w:p w:rsidR="00000000" w:rsidRPr="008921B4" w:rsidP="00690D8F">
      <w:pPr>
        <w:pStyle w:val="BodyText"/>
      </w:pPr>
      <w:r w:rsidRPr="008921B4">
        <w:t>This unit of competency specifies the skills and knowledge req</w:t>
      </w:r>
      <w:r w:rsidRPr="008921B4">
        <w:t>uired to decommission gaseous agent containers and actuators and prepare containers and components for transport. Gaseous agent containers may contain extinguishing agents which are ozone depleting substances (ODS) and synthetic greenhouse gases (SGG).</w:t>
      </w:r>
    </w:p>
    <w:p w:rsidR="00000000" w:rsidRPr="008921B4" w:rsidP="00690D8F">
      <w:pPr>
        <w:pStyle w:val="BodyText"/>
      </w:pPr>
      <w:r w:rsidRPr="008921B4">
        <w:t>The</w:t>
      </w:r>
      <w:r w:rsidRPr="008921B4">
        <w:t xml:space="preserve"> unit does not cover any installation, maintenance, replacement or repair functions that are restricted to licensed trades or occupations.</w:t>
      </w:r>
    </w:p>
    <w:p w:rsidR="00000000" w:rsidRPr="008921B4" w:rsidP="00690D8F">
      <w:pPr>
        <w:pStyle w:val="BodyText"/>
      </w:pPr>
      <w:r w:rsidRPr="008921B4">
        <w:t>A person who has achieved this unit of competency would be expected to take responsibility for organising and complet</w:t>
      </w:r>
      <w:r w:rsidRPr="008921B4">
        <w:t>ing these tasks with a high degree of self-direction.</w:t>
      </w:r>
    </w:p>
    <w:p w:rsidR="00000000" w:rsidRPr="008921B4" w:rsidP="00690D8F">
      <w:pPr>
        <w:pStyle w:val="BodyText"/>
      </w:pPr>
      <w:r w:rsidRPr="008921B4">
        <w:t>ODS and SGG are gaseous fire-extinguishing agents listed in Schedule 1 of the Ozone Protection and Synthetic Greenhouse Gas Management Act 1989 and by law, can only be handled by people who hold an appr</w:t>
      </w:r>
      <w:r w:rsidRPr="008921B4">
        <w:t>opriate extinguishing agent handling licence (EAHL). This unit supports one or more EAHLs prescribed under the Act. For further information, check with the relevant regulatory authority.</w:t>
      </w:r>
    </w:p>
    <w:p w:rsidR="00000000" w:rsidRPr="008921B4" w:rsidP="008921B4">
      <w:pPr>
        <w:pStyle w:val="Heading1"/>
      </w:pPr>
      <w:bookmarkStart w:id="3" w:name="O_1163800"/>
      <w:bookmarkEnd w:id="3"/>
      <w:r w:rsidRPr="008921B4">
        <w:t>Pre-requisite Unit</w:t>
      </w:r>
    </w:p>
    <w:p w:rsidR="00000000" w:rsidRPr="008921B4" w:rsidP="00690D8F">
      <w:pPr>
        <w:pStyle w:val="BodyText"/>
      </w:pPr>
      <w:r w:rsidRPr="008921B4">
        <w:t>Nil.</w:t>
      </w:r>
    </w:p>
    <w:p w:rsidR="00000000" w:rsidRPr="008921B4" w:rsidP="008921B4">
      <w:pPr>
        <w:pStyle w:val="Heading1"/>
      </w:pPr>
      <w:bookmarkStart w:id="4" w:name="O_1163799"/>
      <w:bookmarkEnd w:id="4"/>
      <w:r w:rsidRPr="008921B4">
        <w:t>Unit Se</w:t>
      </w:r>
      <w:r w:rsidRPr="008921B4">
        <w:t>ctor</w:t>
      </w:r>
    </w:p>
    <w:p w:rsidR="00000000" w:rsidRPr="008921B4" w:rsidP="00690D8F">
      <w:pPr>
        <w:pStyle w:val="BodyText"/>
      </w:pPr>
      <w:r w:rsidRPr="008921B4">
        <w:t>Fire Protection Inspection and Testing</w:t>
      </w:r>
    </w:p>
    <w:p w:rsidR="00000000" w:rsidRPr="008921B4" w:rsidP="008921B4">
      <w:pPr>
        <w:pStyle w:val="Heading1"/>
      </w:pPr>
      <w:bookmarkStart w:id="5" w:name="O_1163798"/>
      <w:bookmarkEnd w:id="5"/>
      <w:r w:rsidRPr="008921B4">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8921B4">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8921B4">
            <w:pPr>
              <w:pStyle w:val="BodyText"/>
              <w:rPr>
                <w:lang w:val="en-NZ"/>
              </w:rPr>
            </w:pPr>
            <w:r w:rsidRPr="008921B4">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8921B4">
            <w:pPr>
              <w:pStyle w:val="BodyText"/>
              <w:rPr>
                <w:lang w:val="en-NZ"/>
              </w:rPr>
            </w:pPr>
            <w:r w:rsidRPr="008921B4">
              <w:t>Performance criteria describe what needs to be done to demonstrate achievement of the element.</w:t>
            </w:r>
          </w:p>
        </w:tc>
      </w:tr>
      <w:tr w:rsidTr="008921B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921B4">
            <w:pPr>
              <w:pStyle w:val="BodyText"/>
              <w:rPr>
                <w:lang w:val="en-NZ"/>
              </w:rPr>
            </w:pPr>
            <w:r w:rsidRPr="008921B4">
              <w:t>1</w:t>
            </w:r>
          </w:p>
        </w:tc>
        <w:tc>
          <w:tcPr>
            <w:tcW w:w="2357" w:type="dxa"/>
            <w:vMerge w:val="restart"/>
            <w:tcBorders>
              <w:top w:val="nil"/>
              <w:left w:val="nil"/>
              <w:bottom w:val="nil"/>
              <w:right w:val="nil"/>
            </w:tcBorders>
            <w:tcMar>
              <w:top w:w="0" w:type="dxa"/>
              <w:left w:w="62" w:type="dxa"/>
              <w:bottom w:w="0" w:type="dxa"/>
              <w:right w:w="62" w:type="dxa"/>
            </w:tcMar>
          </w:tcPr>
          <w:p w:rsidR="00000000" w:rsidP="008921B4">
            <w:pPr>
              <w:pStyle w:val="BodyText"/>
              <w:rPr>
                <w:lang w:val="en-NZ"/>
              </w:rPr>
            </w:pPr>
            <w:r w:rsidRPr="008921B4">
              <w:t>Apply rules and regulations to decommissioning operation.</w:t>
            </w:r>
          </w:p>
        </w:tc>
        <w:tc>
          <w:tcPr>
            <w:tcW w:w="804" w:type="dxa"/>
            <w:tcBorders>
              <w:top w:val="nil"/>
              <w:left w:val="nil"/>
              <w:bottom w:val="nil"/>
              <w:right w:val="nil"/>
            </w:tcBorders>
            <w:tcMar>
              <w:top w:w="0" w:type="dxa"/>
              <w:left w:w="62" w:type="dxa"/>
              <w:bottom w:w="0" w:type="dxa"/>
              <w:right w:w="62" w:type="dxa"/>
            </w:tcMar>
          </w:tcPr>
          <w:p w:rsidR="00000000" w:rsidP="008921B4">
            <w:pPr>
              <w:pStyle w:val="BodyText"/>
              <w:rPr>
                <w:lang w:val="en-NZ"/>
              </w:rPr>
            </w:pPr>
            <w:r w:rsidRPr="008921B4">
              <w:t>1.1</w:t>
            </w:r>
          </w:p>
        </w:tc>
        <w:tc>
          <w:tcPr>
            <w:tcW w:w="5659" w:type="dxa"/>
            <w:tcBorders>
              <w:top w:val="nil"/>
              <w:left w:val="nil"/>
              <w:bottom w:val="nil"/>
              <w:right w:val="nil"/>
            </w:tcBorders>
            <w:tcMar>
              <w:top w:w="0" w:type="dxa"/>
              <w:left w:w="62" w:type="dxa"/>
              <w:bottom w:w="0" w:type="dxa"/>
              <w:right w:w="62" w:type="dxa"/>
            </w:tcMar>
          </w:tcPr>
          <w:p w:rsidR="00000000" w:rsidP="008921B4">
            <w:pPr>
              <w:pStyle w:val="BodyText"/>
              <w:rPr>
                <w:lang w:val="en-NZ"/>
              </w:rPr>
            </w:pPr>
            <w:r w:rsidRPr="008921B4">
              <w:t>Interpret work instructions to clarify types of gaseous agent containers and actuators to be decommissioned, decommissioning timeframes and site location.</w:t>
            </w:r>
          </w:p>
        </w:tc>
      </w:tr>
      <w:tr w:rsidTr="008921B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921B4">
            <w:pPr>
              <w:pStyle w:val="BodyText"/>
              <w:rPr>
                <w:lang w:val="en-NZ"/>
              </w:rPr>
            </w:pPr>
            <w:r w:rsidRPr="008921B4">
              <w:t>1.2</w:t>
            </w:r>
          </w:p>
        </w:tc>
        <w:tc>
          <w:tcPr>
            <w:tcW w:w="5659" w:type="dxa"/>
            <w:tcBorders>
              <w:top w:val="nil"/>
              <w:left w:val="nil"/>
              <w:bottom w:val="nil"/>
              <w:right w:val="nil"/>
            </w:tcBorders>
            <w:tcMar>
              <w:top w:w="0" w:type="dxa"/>
              <w:left w:w="62" w:type="dxa"/>
              <w:bottom w:w="0" w:type="dxa"/>
              <w:right w:w="62" w:type="dxa"/>
            </w:tcMar>
          </w:tcPr>
          <w:p w:rsidR="00000000" w:rsidP="008921B4">
            <w:pPr>
              <w:pStyle w:val="BodyText"/>
              <w:rPr>
                <w:lang w:val="en-NZ"/>
              </w:rPr>
            </w:pPr>
            <w:r w:rsidRPr="008921B4">
              <w:t xml:space="preserve">Discuss planned decommissioning </w:t>
            </w:r>
            <w:r w:rsidRPr="008921B4">
              <w:t>procedures with relevant persons to clarify client needs and expectations.</w:t>
            </w:r>
          </w:p>
        </w:tc>
      </w:tr>
      <w:tr w:rsidTr="008921B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921B4">
            <w:pPr>
              <w:pStyle w:val="BodyText"/>
              <w:rPr>
                <w:lang w:val="en-NZ"/>
              </w:rPr>
            </w:pPr>
            <w:r w:rsidRPr="008921B4">
              <w:t>1.3</w:t>
            </w:r>
          </w:p>
        </w:tc>
        <w:tc>
          <w:tcPr>
            <w:tcW w:w="5659" w:type="dxa"/>
            <w:tcBorders>
              <w:top w:val="nil"/>
              <w:left w:val="nil"/>
              <w:bottom w:val="nil"/>
              <w:right w:val="nil"/>
            </w:tcBorders>
            <w:tcMar>
              <w:top w:w="0" w:type="dxa"/>
              <w:left w:w="62" w:type="dxa"/>
              <w:bottom w:w="0" w:type="dxa"/>
              <w:right w:w="62" w:type="dxa"/>
            </w:tcMar>
          </w:tcPr>
          <w:p w:rsidR="00000000" w:rsidP="008921B4">
            <w:pPr>
              <w:pStyle w:val="BodyText"/>
              <w:rPr>
                <w:lang w:val="en-NZ"/>
              </w:rPr>
            </w:pPr>
            <w:r w:rsidRPr="008921B4">
              <w:t xml:space="preserve">Plan work activities to prevent ODS and SGG emissions and comply with relevant Australian Standards, ODS and SGG regulations, work health and safety </w:t>
            </w:r>
            <w:r w:rsidRPr="008921B4">
              <w:t>(WHS) and workplace requirements.</w:t>
            </w:r>
          </w:p>
        </w:tc>
      </w:tr>
      <w:tr w:rsidTr="008921B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921B4">
            <w:pPr>
              <w:pStyle w:val="BodyText"/>
              <w:rPr>
                <w:lang w:val="en-NZ"/>
              </w:rPr>
            </w:pPr>
            <w:r w:rsidRPr="008921B4">
              <w:t>1.4</w:t>
            </w:r>
          </w:p>
        </w:tc>
        <w:tc>
          <w:tcPr>
            <w:tcW w:w="5659" w:type="dxa"/>
            <w:tcBorders>
              <w:top w:val="nil"/>
              <w:left w:val="nil"/>
              <w:bottom w:val="nil"/>
              <w:right w:val="nil"/>
            </w:tcBorders>
            <w:tcMar>
              <w:top w:w="0" w:type="dxa"/>
              <w:left w:w="62" w:type="dxa"/>
              <w:bottom w:w="0" w:type="dxa"/>
              <w:right w:w="62" w:type="dxa"/>
            </w:tcMar>
          </w:tcPr>
          <w:p w:rsidR="00000000" w:rsidP="008921B4">
            <w:pPr>
              <w:pStyle w:val="BodyText"/>
              <w:rPr>
                <w:lang w:val="en-NZ"/>
              </w:rPr>
            </w:pPr>
            <w:r w:rsidRPr="008921B4">
              <w:t>Identify potential and actual breaches of rules and regulations associated with work instructions and take required action to ensure compliance according to regulatory and workplace requirements.</w:t>
            </w:r>
          </w:p>
        </w:tc>
      </w:tr>
      <w:tr w:rsidTr="008921B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921B4">
            <w:pPr>
              <w:pStyle w:val="BodyText"/>
              <w:rPr>
                <w:lang w:val="en-NZ"/>
              </w:rPr>
            </w:pPr>
          </w:p>
        </w:tc>
      </w:tr>
      <w:tr w:rsidTr="008921B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921B4">
            <w:pPr>
              <w:pStyle w:val="BodyText"/>
              <w:rPr>
                <w:lang w:val="en-NZ"/>
              </w:rPr>
            </w:pPr>
            <w:r w:rsidRPr="008921B4">
              <w:t>2</w:t>
            </w:r>
          </w:p>
        </w:tc>
        <w:tc>
          <w:tcPr>
            <w:tcW w:w="2357" w:type="dxa"/>
            <w:vMerge w:val="restart"/>
            <w:tcBorders>
              <w:top w:val="nil"/>
              <w:left w:val="nil"/>
              <w:bottom w:val="nil"/>
              <w:right w:val="nil"/>
            </w:tcBorders>
            <w:tcMar>
              <w:top w:w="0" w:type="dxa"/>
              <w:left w:w="62" w:type="dxa"/>
              <w:bottom w:w="0" w:type="dxa"/>
              <w:right w:w="62" w:type="dxa"/>
            </w:tcMar>
          </w:tcPr>
          <w:p w:rsidR="00000000" w:rsidP="008921B4">
            <w:pPr>
              <w:pStyle w:val="BodyText"/>
              <w:rPr>
                <w:lang w:val="en-NZ"/>
              </w:rPr>
            </w:pPr>
            <w:r w:rsidRPr="008921B4">
              <w:t>Prepare to decommission gaseous agent containers and actuators.</w:t>
            </w:r>
          </w:p>
        </w:tc>
        <w:tc>
          <w:tcPr>
            <w:tcW w:w="804" w:type="dxa"/>
            <w:tcBorders>
              <w:top w:val="nil"/>
              <w:left w:val="nil"/>
              <w:bottom w:val="nil"/>
              <w:right w:val="nil"/>
            </w:tcBorders>
            <w:tcMar>
              <w:top w:w="0" w:type="dxa"/>
              <w:left w:w="62" w:type="dxa"/>
              <w:bottom w:w="0" w:type="dxa"/>
              <w:right w:w="62" w:type="dxa"/>
            </w:tcMar>
          </w:tcPr>
          <w:p w:rsidR="00000000" w:rsidP="008921B4">
            <w:pPr>
              <w:pStyle w:val="BodyText"/>
              <w:rPr>
                <w:lang w:val="en-NZ"/>
              </w:rPr>
            </w:pPr>
            <w:r w:rsidRPr="008921B4">
              <w:t>2.1</w:t>
            </w:r>
          </w:p>
        </w:tc>
        <w:tc>
          <w:tcPr>
            <w:tcW w:w="5659" w:type="dxa"/>
            <w:tcBorders>
              <w:top w:val="nil"/>
              <w:left w:val="nil"/>
              <w:bottom w:val="nil"/>
              <w:right w:val="nil"/>
            </w:tcBorders>
            <w:tcMar>
              <w:top w:w="0" w:type="dxa"/>
              <w:left w:w="62" w:type="dxa"/>
              <w:bottom w:w="0" w:type="dxa"/>
              <w:right w:w="62" w:type="dxa"/>
            </w:tcMar>
          </w:tcPr>
          <w:p w:rsidR="00000000" w:rsidP="008921B4">
            <w:pPr>
              <w:pStyle w:val="BodyText"/>
              <w:rPr>
                <w:lang w:val="en-NZ"/>
              </w:rPr>
            </w:pPr>
            <w:r w:rsidRPr="008921B4">
              <w:t>Arrange access to worksite and communicate with responsible entity and affected persons to advise duration and impact of planned decommissioning procedures.</w:t>
            </w:r>
          </w:p>
        </w:tc>
      </w:tr>
      <w:tr w:rsidTr="008921B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921B4">
            <w:pPr>
              <w:pStyle w:val="BodyText"/>
              <w:rPr>
                <w:lang w:val="en-NZ"/>
              </w:rPr>
            </w:pPr>
            <w:r w:rsidRPr="008921B4">
              <w:t>2.2</w:t>
            </w:r>
          </w:p>
        </w:tc>
        <w:tc>
          <w:tcPr>
            <w:tcW w:w="5659" w:type="dxa"/>
            <w:tcBorders>
              <w:top w:val="nil"/>
              <w:left w:val="nil"/>
              <w:bottom w:val="nil"/>
              <w:right w:val="nil"/>
            </w:tcBorders>
            <w:tcMar>
              <w:top w:w="0" w:type="dxa"/>
              <w:left w:w="62" w:type="dxa"/>
              <w:bottom w:w="0" w:type="dxa"/>
              <w:right w:w="62" w:type="dxa"/>
            </w:tcMar>
          </w:tcPr>
          <w:p w:rsidR="00000000" w:rsidP="008921B4">
            <w:pPr>
              <w:pStyle w:val="BodyText"/>
              <w:rPr>
                <w:lang w:val="en-NZ"/>
              </w:rPr>
            </w:pPr>
            <w:r w:rsidRPr="008921B4">
              <w:t>Identify and control haz</w:t>
            </w:r>
            <w:r w:rsidRPr="008921B4">
              <w:t>ards in the work area according to workplace requirements.</w:t>
            </w:r>
          </w:p>
        </w:tc>
      </w:tr>
      <w:tr w:rsidTr="008921B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921B4">
            <w:pPr>
              <w:pStyle w:val="BodyText"/>
              <w:rPr>
                <w:lang w:val="en-NZ"/>
              </w:rPr>
            </w:pPr>
            <w:r w:rsidRPr="008921B4">
              <w:t>2.3</w:t>
            </w:r>
          </w:p>
        </w:tc>
        <w:tc>
          <w:tcPr>
            <w:tcW w:w="5659" w:type="dxa"/>
            <w:tcBorders>
              <w:top w:val="nil"/>
              <w:left w:val="nil"/>
              <w:bottom w:val="nil"/>
              <w:right w:val="nil"/>
            </w:tcBorders>
            <w:tcMar>
              <w:top w:w="0" w:type="dxa"/>
              <w:left w:w="62" w:type="dxa"/>
              <w:bottom w:w="0" w:type="dxa"/>
              <w:right w:w="62" w:type="dxa"/>
            </w:tcMar>
          </w:tcPr>
          <w:p w:rsidR="00000000" w:rsidP="008921B4">
            <w:pPr>
              <w:pStyle w:val="BodyText"/>
              <w:rPr>
                <w:lang w:val="en-NZ"/>
              </w:rPr>
            </w:pPr>
            <w:r w:rsidRPr="008921B4">
              <w:t>Select and use required materials, tools and equipment, including personal protective equipment (PPE).</w:t>
            </w:r>
          </w:p>
        </w:tc>
      </w:tr>
      <w:tr w:rsidTr="008921B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921B4">
            <w:pPr>
              <w:pStyle w:val="BodyText"/>
              <w:rPr>
                <w:lang w:val="en-NZ"/>
              </w:rPr>
            </w:pPr>
            <w:r w:rsidRPr="008921B4">
              <w:t>2.4</w:t>
            </w:r>
          </w:p>
        </w:tc>
        <w:tc>
          <w:tcPr>
            <w:tcW w:w="5659" w:type="dxa"/>
            <w:tcBorders>
              <w:top w:val="nil"/>
              <w:left w:val="nil"/>
              <w:bottom w:val="nil"/>
              <w:right w:val="nil"/>
            </w:tcBorders>
            <w:tcMar>
              <w:top w:w="0" w:type="dxa"/>
              <w:left w:w="62" w:type="dxa"/>
              <w:bottom w:w="0" w:type="dxa"/>
              <w:right w:w="62" w:type="dxa"/>
            </w:tcMar>
          </w:tcPr>
          <w:p w:rsidR="00000000" w:rsidP="008921B4">
            <w:pPr>
              <w:pStyle w:val="BodyText"/>
              <w:rPr>
                <w:lang w:val="en-NZ"/>
              </w:rPr>
            </w:pPr>
            <w:r w:rsidRPr="008921B4">
              <w:t>Discuss and confirm decommissioning guidelines with relev</w:t>
            </w:r>
            <w:r w:rsidRPr="008921B4">
              <w:t>ant persons to confirm they meet client, manufacturer, regulatory and workplace requirements.</w:t>
            </w:r>
          </w:p>
        </w:tc>
      </w:tr>
      <w:tr w:rsidTr="008921B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921B4">
            <w:pPr>
              <w:pStyle w:val="BodyText"/>
              <w:rPr>
                <w:lang w:val="en-NZ"/>
              </w:rPr>
            </w:pPr>
            <w:r w:rsidRPr="008921B4">
              <w:t>2.5</w:t>
            </w:r>
          </w:p>
        </w:tc>
        <w:tc>
          <w:tcPr>
            <w:tcW w:w="5659" w:type="dxa"/>
            <w:tcBorders>
              <w:top w:val="nil"/>
              <w:left w:val="nil"/>
              <w:bottom w:val="nil"/>
              <w:right w:val="nil"/>
            </w:tcBorders>
            <w:tcMar>
              <w:top w:w="0" w:type="dxa"/>
              <w:left w:w="62" w:type="dxa"/>
              <w:bottom w:w="0" w:type="dxa"/>
              <w:right w:w="62" w:type="dxa"/>
            </w:tcMar>
          </w:tcPr>
          <w:p w:rsidR="00000000" w:rsidP="008921B4">
            <w:pPr>
              <w:pStyle w:val="BodyText"/>
              <w:rPr>
                <w:lang w:val="en-NZ"/>
              </w:rPr>
            </w:pPr>
            <w:r w:rsidRPr="008921B4">
              <w:t>Identify and confirm system components and confirm that safety measures are in place prior to the decommissioning process according to workplace requiremen</w:t>
            </w:r>
            <w:r w:rsidRPr="008921B4">
              <w:t>ts.</w:t>
            </w:r>
          </w:p>
        </w:tc>
      </w:tr>
      <w:tr w:rsidTr="008921B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921B4">
            <w:pPr>
              <w:pStyle w:val="BodyText"/>
              <w:rPr>
                <w:lang w:val="en-NZ"/>
              </w:rPr>
            </w:pPr>
            <w:r w:rsidRPr="008921B4">
              <w:t>2.6</w:t>
            </w:r>
          </w:p>
        </w:tc>
        <w:tc>
          <w:tcPr>
            <w:tcW w:w="5659" w:type="dxa"/>
            <w:tcBorders>
              <w:top w:val="nil"/>
              <w:left w:val="nil"/>
              <w:bottom w:val="nil"/>
              <w:right w:val="nil"/>
            </w:tcBorders>
            <w:tcMar>
              <w:top w:w="0" w:type="dxa"/>
              <w:left w:w="62" w:type="dxa"/>
              <w:bottom w:w="0" w:type="dxa"/>
              <w:right w:w="62" w:type="dxa"/>
            </w:tcMar>
          </w:tcPr>
          <w:p w:rsidR="00000000" w:rsidP="008921B4">
            <w:pPr>
              <w:pStyle w:val="BodyText"/>
              <w:rPr>
                <w:lang w:val="en-NZ"/>
              </w:rPr>
            </w:pPr>
            <w:r w:rsidRPr="008921B4">
              <w:t>Check to confirm access to the system complies with decommissioning guidelines and provides minimal disruption to the client or property.</w:t>
            </w:r>
          </w:p>
        </w:tc>
      </w:tr>
      <w:tr w:rsidTr="008921B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921B4">
            <w:pPr>
              <w:pStyle w:val="BodyText"/>
              <w:rPr>
                <w:lang w:val="en-NZ"/>
              </w:rPr>
            </w:pPr>
          </w:p>
        </w:tc>
      </w:tr>
      <w:tr w:rsidTr="008921B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921B4">
            <w:pPr>
              <w:pStyle w:val="BodyText"/>
              <w:rPr>
                <w:lang w:val="en-NZ"/>
              </w:rPr>
            </w:pPr>
            <w:r w:rsidRPr="008921B4">
              <w:t>3</w:t>
            </w:r>
          </w:p>
        </w:tc>
        <w:tc>
          <w:tcPr>
            <w:tcW w:w="2357" w:type="dxa"/>
            <w:vMerge w:val="restart"/>
            <w:tcBorders>
              <w:top w:val="nil"/>
              <w:left w:val="nil"/>
              <w:bottom w:val="nil"/>
              <w:right w:val="nil"/>
            </w:tcBorders>
            <w:tcMar>
              <w:top w:w="0" w:type="dxa"/>
              <w:left w:w="62" w:type="dxa"/>
              <w:bottom w:w="0" w:type="dxa"/>
              <w:right w:w="62" w:type="dxa"/>
            </w:tcMar>
          </w:tcPr>
          <w:p w:rsidR="00000000" w:rsidP="008921B4">
            <w:pPr>
              <w:pStyle w:val="BodyText"/>
              <w:rPr>
                <w:lang w:val="en-NZ"/>
              </w:rPr>
            </w:pPr>
            <w:r w:rsidRPr="008921B4">
              <w:t>Perform decommissioning procedures.</w:t>
            </w:r>
          </w:p>
        </w:tc>
        <w:tc>
          <w:tcPr>
            <w:tcW w:w="804" w:type="dxa"/>
            <w:tcBorders>
              <w:top w:val="nil"/>
              <w:left w:val="nil"/>
              <w:bottom w:val="nil"/>
              <w:right w:val="nil"/>
            </w:tcBorders>
            <w:tcMar>
              <w:top w:w="0" w:type="dxa"/>
              <w:left w:w="62" w:type="dxa"/>
              <w:bottom w:w="0" w:type="dxa"/>
              <w:right w:w="62" w:type="dxa"/>
            </w:tcMar>
          </w:tcPr>
          <w:p w:rsidR="00000000" w:rsidP="008921B4">
            <w:pPr>
              <w:pStyle w:val="BodyText"/>
              <w:rPr>
                <w:lang w:val="en-NZ"/>
              </w:rPr>
            </w:pPr>
            <w:r w:rsidRPr="008921B4">
              <w:t>3.1</w:t>
            </w:r>
          </w:p>
        </w:tc>
        <w:tc>
          <w:tcPr>
            <w:tcW w:w="5659" w:type="dxa"/>
            <w:tcBorders>
              <w:top w:val="nil"/>
              <w:left w:val="nil"/>
              <w:bottom w:val="nil"/>
              <w:right w:val="nil"/>
            </w:tcBorders>
            <w:tcMar>
              <w:top w:w="0" w:type="dxa"/>
              <w:left w:w="62" w:type="dxa"/>
              <w:bottom w:w="0" w:type="dxa"/>
              <w:right w:w="62" w:type="dxa"/>
            </w:tcMar>
          </w:tcPr>
          <w:p w:rsidR="00000000" w:rsidP="008921B4">
            <w:pPr>
              <w:pStyle w:val="BodyText"/>
              <w:rPr>
                <w:lang w:val="en-NZ"/>
              </w:rPr>
            </w:pPr>
            <w:r w:rsidRPr="008921B4">
              <w:t>Decommission gaseous agent containers and actuators according to decommissioning guidelines, manufacturer, regulatory, workplace and client requirements.</w:t>
            </w:r>
          </w:p>
        </w:tc>
      </w:tr>
      <w:tr w:rsidTr="008921B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921B4">
            <w:pPr>
              <w:pStyle w:val="BodyText"/>
              <w:rPr>
                <w:lang w:val="en-NZ"/>
              </w:rPr>
            </w:pPr>
            <w:r w:rsidRPr="008921B4">
              <w:t>3.2</w:t>
            </w:r>
          </w:p>
        </w:tc>
        <w:tc>
          <w:tcPr>
            <w:tcW w:w="5659" w:type="dxa"/>
            <w:tcBorders>
              <w:top w:val="nil"/>
              <w:left w:val="nil"/>
              <w:bottom w:val="nil"/>
              <w:right w:val="nil"/>
            </w:tcBorders>
            <w:tcMar>
              <w:top w:w="0" w:type="dxa"/>
              <w:left w:w="62" w:type="dxa"/>
              <w:bottom w:w="0" w:type="dxa"/>
              <w:right w:w="62" w:type="dxa"/>
            </w:tcMar>
          </w:tcPr>
          <w:p w:rsidR="00000000" w:rsidP="008921B4">
            <w:pPr>
              <w:pStyle w:val="BodyText"/>
              <w:rPr>
                <w:lang w:val="en-NZ"/>
              </w:rPr>
            </w:pPr>
            <w:r w:rsidRPr="008921B4">
              <w:t xml:space="preserve">Isolate interfaced actuators and place lock-off devices </w:t>
            </w:r>
            <w:r w:rsidRPr="008921B4">
              <w:t>and required signage according to regul</w:t>
            </w:r>
            <w:r w:rsidRPr="008921B4">
              <w:t>atory and workplace requirements.</w:t>
            </w:r>
          </w:p>
        </w:tc>
      </w:tr>
      <w:tr w:rsidTr="008921B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921B4">
            <w:pPr>
              <w:pStyle w:val="BodyText"/>
              <w:rPr>
                <w:lang w:val="en-NZ"/>
              </w:rPr>
            </w:pPr>
            <w:r w:rsidRPr="008921B4">
              <w:t>3.3</w:t>
            </w:r>
          </w:p>
        </w:tc>
        <w:tc>
          <w:tcPr>
            <w:tcW w:w="5659" w:type="dxa"/>
            <w:tcBorders>
              <w:top w:val="nil"/>
              <w:left w:val="nil"/>
              <w:bottom w:val="nil"/>
              <w:right w:val="nil"/>
            </w:tcBorders>
            <w:tcMar>
              <w:top w:w="0" w:type="dxa"/>
              <w:left w:w="62" w:type="dxa"/>
              <w:bottom w:w="0" w:type="dxa"/>
              <w:right w:w="62" w:type="dxa"/>
            </w:tcMar>
          </w:tcPr>
          <w:p w:rsidR="00000000" w:rsidP="008921B4">
            <w:pPr>
              <w:pStyle w:val="BodyText"/>
              <w:rPr>
                <w:lang w:val="en-NZ"/>
              </w:rPr>
            </w:pPr>
            <w:r w:rsidRPr="008921B4">
              <w:t>Disconnect manual, electrical and mechanical actuators according to manufacturer requirements.</w:t>
            </w:r>
          </w:p>
        </w:tc>
      </w:tr>
      <w:tr w:rsidTr="008921B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921B4">
            <w:pPr>
              <w:pStyle w:val="BodyText"/>
              <w:rPr>
                <w:lang w:val="en-NZ"/>
              </w:rPr>
            </w:pPr>
            <w:r w:rsidRPr="008921B4">
              <w:t>3.4</w:t>
            </w:r>
          </w:p>
        </w:tc>
        <w:tc>
          <w:tcPr>
            <w:tcW w:w="5659" w:type="dxa"/>
            <w:tcBorders>
              <w:top w:val="nil"/>
              <w:left w:val="nil"/>
              <w:bottom w:val="nil"/>
              <w:right w:val="nil"/>
            </w:tcBorders>
            <w:tcMar>
              <w:top w:w="0" w:type="dxa"/>
              <w:left w:w="62" w:type="dxa"/>
              <w:bottom w:w="0" w:type="dxa"/>
              <w:right w:w="62" w:type="dxa"/>
            </w:tcMar>
          </w:tcPr>
          <w:p w:rsidR="00000000" w:rsidP="008921B4">
            <w:pPr>
              <w:pStyle w:val="BodyText"/>
              <w:rPr>
                <w:lang w:val="en-NZ"/>
              </w:rPr>
            </w:pPr>
            <w:r w:rsidRPr="008921B4">
              <w:t>Disconnect pneumatic actuators, pilot and slave tubes and fittings according to manufacturer requirements.</w:t>
            </w:r>
          </w:p>
        </w:tc>
      </w:tr>
      <w:tr w:rsidTr="008921B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921B4">
            <w:pPr>
              <w:pStyle w:val="BodyText"/>
              <w:rPr>
                <w:lang w:val="en-NZ"/>
              </w:rPr>
            </w:pPr>
            <w:r w:rsidRPr="008921B4">
              <w:t>3.5</w:t>
            </w:r>
          </w:p>
        </w:tc>
        <w:tc>
          <w:tcPr>
            <w:tcW w:w="5659" w:type="dxa"/>
            <w:tcBorders>
              <w:top w:val="nil"/>
              <w:left w:val="nil"/>
              <w:bottom w:val="nil"/>
              <w:right w:val="nil"/>
            </w:tcBorders>
            <w:tcMar>
              <w:top w:w="0" w:type="dxa"/>
              <w:left w:w="62" w:type="dxa"/>
              <w:bottom w:w="0" w:type="dxa"/>
              <w:right w:w="62" w:type="dxa"/>
            </w:tcMar>
          </w:tcPr>
          <w:p w:rsidR="00000000" w:rsidP="008921B4">
            <w:pPr>
              <w:pStyle w:val="BodyText"/>
              <w:rPr>
                <w:lang w:val="en-NZ"/>
              </w:rPr>
            </w:pPr>
            <w:r w:rsidRPr="008921B4">
              <w:t>Fit transport caps, plugs and locking devices on discharge outlets and actuator ports according to regulatory requirements.</w:t>
            </w:r>
          </w:p>
        </w:tc>
      </w:tr>
      <w:tr w:rsidTr="008921B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921B4">
            <w:pPr>
              <w:pStyle w:val="BodyText"/>
              <w:rPr>
                <w:lang w:val="en-NZ"/>
              </w:rPr>
            </w:pPr>
            <w:r w:rsidRPr="008921B4">
              <w:t>3.6</w:t>
            </w:r>
          </w:p>
        </w:tc>
        <w:tc>
          <w:tcPr>
            <w:tcW w:w="5659" w:type="dxa"/>
            <w:tcBorders>
              <w:top w:val="nil"/>
              <w:left w:val="nil"/>
              <w:bottom w:val="nil"/>
              <w:right w:val="nil"/>
            </w:tcBorders>
            <w:tcMar>
              <w:top w:w="0" w:type="dxa"/>
              <w:left w:w="62" w:type="dxa"/>
              <w:bottom w:w="0" w:type="dxa"/>
              <w:right w:w="62" w:type="dxa"/>
            </w:tcMar>
          </w:tcPr>
          <w:p w:rsidR="00000000" w:rsidP="008921B4">
            <w:pPr>
              <w:pStyle w:val="BodyText"/>
              <w:rPr>
                <w:lang w:val="en-NZ"/>
              </w:rPr>
            </w:pPr>
            <w:r w:rsidRPr="008921B4">
              <w:t>Disconnect container manifold connection components according to manufacturer requirements.</w:t>
            </w:r>
          </w:p>
        </w:tc>
      </w:tr>
      <w:tr w:rsidTr="008921B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921B4">
            <w:pPr>
              <w:pStyle w:val="BodyText"/>
              <w:rPr>
                <w:lang w:val="en-NZ"/>
              </w:rPr>
            </w:pPr>
            <w:r w:rsidRPr="008921B4">
              <w:t>3.7</w:t>
            </w:r>
          </w:p>
        </w:tc>
        <w:tc>
          <w:tcPr>
            <w:tcW w:w="5659" w:type="dxa"/>
            <w:tcBorders>
              <w:top w:val="nil"/>
              <w:left w:val="nil"/>
              <w:bottom w:val="nil"/>
              <w:right w:val="nil"/>
            </w:tcBorders>
            <w:tcMar>
              <w:top w:w="0" w:type="dxa"/>
              <w:left w:w="62" w:type="dxa"/>
              <w:bottom w:w="0" w:type="dxa"/>
              <w:right w:w="62" w:type="dxa"/>
            </w:tcMar>
          </w:tcPr>
          <w:p w:rsidR="00000000" w:rsidP="008921B4">
            <w:pPr>
              <w:pStyle w:val="BodyText"/>
              <w:rPr>
                <w:lang w:val="en-NZ"/>
              </w:rPr>
            </w:pPr>
            <w:r w:rsidRPr="008921B4">
              <w:t>Connect transport caps on valve outlets according to regulatory requirements.</w:t>
            </w:r>
          </w:p>
        </w:tc>
      </w:tr>
      <w:tr w:rsidTr="008921B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921B4">
            <w:pPr>
              <w:pStyle w:val="BodyText"/>
              <w:rPr>
                <w:lang w:val="en-NZ"/>
              </w:rPr>
            </w:pPr>
          </w:p>
        </w:tc>
      </w:tr>
      <w:tr w:rsidTr="008921B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921B4">
            <w:pPr>
              <w:pStyle w:val="BodyText"/>
              <w:rPr>
                <w:lang w:val="en-NZ"/>
              </w:rPr>
            </w:pPr>
            <w:r w:rsidRPr="008921B4">
              <w:t>4</w:t>
            </w:r>
          </w:p>
        </w:tc>
        <w:tc>
          <w:tcPr>
            <w:tcW w:w="2357" w:type="dxa"/>
            <w:vMerge w:val="restart"/>
            <w:tcBorders>
              <w:top w:val="nil"/>
              <w:left w:val="nil"/>
              <w:bottom w:val="nil"/>
              <w:right w:val="nil"/>
            </w:tcBorders>
            <w:tcMar>
              <w:top w:w="0" w:type="dxa"/>
              <w:left w:w="62" w:type="dxa"/>
              <w:bottom w:w="0" w:type="dxa"/>
              <w:right w:w="62" w:type="dxa"/>
            </w:tcMar>
          </w:tcPr>
          <w:p w:rsidR="00000000" w:rsidP="008921B4">
            <w:pPr>
              <w:pStyle w:val="BodyText"/>
              <w:rPr>
                <w:lang w:val="en-NZ"/>
              </w:rPr>
            </w:pPr>
            <w:r w:rsidRPr="008921B4">
              <w:t>Finalise decommissioning operation.</w:t>
            </w:r>
          </w:p>
        </w:tc>
        <w:tc>
          <w:tcPr>
            <w:tcW w:w="804" w:type="dxa"/>
            <w:tcBorders>
              <w:top w:val="nil"/>
              <w:left w:val="nil"/>
              <w:bottom w:val="nil"/>
              <w:right w:val="nil"/>
            </w:tcBorders>
            <w:tcMar>
              <w:top w:w="0" w:type="dxa"/>
              <w:left w:w="62" w:type="dxa"/>
              <w:bottom w:w="0" w:type="dxa"/>
              <w:right w:w="62" w:type="dxa"/>
            </w:tcMar>
          </w:tcPr>
          <w:p w:rsidR="00000000" w:rsidP="008921B4">
            <w:pPr>
              <w:pStyle w:val="BodyText"/>
              <w:rPr>
                <w:lang w:val="en-NZ"/>
              </w:rPr>
            </w:pPr>
            <w:r w:rsidRPr="008921B4">
              <w:t>4.1</w:t>
            </w:r>
          </w:p>
        </w:tc>
        <w:tc>
          <w:tcPr>
            <w:tcW w:w="5659" w:type="dxa"/>
            <w:tcBorders>
              <w:top w:val="nil"/>
              <w:left w:val="nil"/>
              <w:bottom w:val="nil"/>
              <w:right w:val="nil"/>
            </w:tcBorders>
            <w:tcMar>
              <w:top w:w="0" w:type="dxa"/>
              <w:left w:w="62" w:type="dxa"/>
              <w:bottom w:w="0" w:type="dxa"/>
              <w:right w:w="62" w:type="dxa"/>
            </w:tcMar>
          </w:tcPr>
          <w:p w:rsidR="00000000" w:rsidP="008921B4">
            <w:pPr>
              <w:pStyle w:val="BodyText"/>
              <w:rPr>
                <w:lang w:val="en-NZ"/>
              </w:rPr>
            </w:pPr>
            <w:r w:rsidRPr="008921B4">
              <w:t>Organise removal and transportation of gaseous agent containers to storage or reclaim facility according to regulatory and workpla</w:t>
            </w:r>
            <w:r w:rsidRPr="008921B4">
              <w:t>ce requirements.</w:t>
            </w:r>
          </w:p>
        </w:tc>
      </w:tr>
      <w:tr w:rsidTr="008921B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921B4">
            <w:pPr>
              <w:pStyle w:val="BodyText"/>
              <w:rPr>
                <w:lang w:val="en-NZ"/>
              </w:rPr>
            </w:pPr>
            <w:r w:rsidRPr="008921B4">
              <w:t>4.2</w:t>
            </w:r>
          </w:p>
        </w:tc>
        <w:tc>
          <w:tcPr>
            <w:tcW w:w="5659" w:type="dxa"/>
            <w:tcBorders>
              <w:top w:val="nil"/>
              <w:left w:val="nil"/>
              <w:bottom w:val="nil"/>
              <w:right w:val="nil"/>
            </w:tcBorders>
            <w:tcMar>
              <w:top w:w="0" w:type="dxa"/>
              <w:left w:w="62" w:type="dxa"/>
              <w:bottom w:w="0" w:type="dxa"/>
              <w:right w:w="62" w:type="dxa"/>
            </w:tcMar>
          </w:tcPr>
          <w:p w:rsidR="00000000" w:rsidP="008921B4">
            <w:pPr>
              <w:pStyle w:val="BodyText"/>
              <w:rPr>
                <w:lang w:val="en-NZ"/>
              </w:rPr>
            </w:pPr>
            <w:r w:rsidRPr="008921B4">
              <w:t>Complete documentation and decommissioning sign-off with relevant persons according to regulatory and workplace requirements.</w:t>
            </w:r>
          </w:p>
        </w:tc>
      </w:tr>
      <w:tr w:rsidTr="008921B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921B4">
            <w:pPr>
              <w:pStyle w:val="BodyText"/>
              <w:rPr>
                <w:lang w:val="en-NZ"/>
              </w:rPr>
            </w:pPr>
            <w:r w:rsidRPr="008921B4">
              <w:t>4.3</w:t>
            </w:r>
          </w:p>
        </w:tc>
        <w:tc>
          <w:tcPr>
            <w:tcW w:w="5659" w:type="dxa"/>
            <w:tcBorders>
              <w:top w:val="nil"/>
              <w:left w:val="nil"/>
              <w:bottom w:val="nil"/>
              <w:right w:val="nil"/>
            </w:tcBorders>
            <w:tcMar>
              <w:top w:w="0" w:type="dxa"/>
              <w:left w:w="62" w:type="dxa"/>
              <w:bottom w:w="0" w:type="dxa"/>
              <w:right w:w="62" w:type="dxa"/>
            </w:tcMar>
          </w:tcPr>
          <w:p w:rsidR="00000000" w:rsidP="008921B4">
            <w:pPr>
              <w:pStyle w:val="BodyText"/>
              <w:rPr>
                <w:lang w:val="en-NZ"/>
              </w:rPr>
            </w:pPr>
            <w:r w:rsidRPr="008921B4">
              <w:t>Check tools and equipment for faults, wear or damage and rectify or report problems according to workplace requirements.</w:t>
            </w:r>
          </w:p>
        </w:tc>
      </w:tr>
      <w:tr w:rsidTr="008921B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921B4">
            <w:pPr>
              <w:pStyle w:val="BodyText"/>
              <w:rPr>
                <w:lang w:val="en-NZ"/>
              </w:rPr>
            </w:pPr>
            <w:r w:rsidRPr="008921B4">
              <w:t>4.4</w:t>
            </w:r>
          </w:p>
        </w:tc>
        <w:tc>
          <w:tcPr>
            <w:tcW w:w="5659" w:type="dxa"/>
            <w:tcBorders>
              <w:top w:val="nil"/>
              <w:left w:val="nil"/>
              <w:bottom w:val="nil"/>
              <w:right w:val="nil"/>
            </w:tcBorders>
            <w:tcMar>
              <w:top w:w="0" w:type="dxa"/>
              <w:left w:w="62" w:type="dxa"/>
              <w:bottom w:w="0" w:type="dxa"/>
              <w:right w:w="62" w:type="dxa"/>
            </w:tcMar>
          </w:tcPr>
          <w:p w:rsidR="00000000" w:rsidRPr="008921B4" w:rsidP="008921B4">
            <w:pPr>
              <w:pStyle w:val="BodyText"/>
            </w:pPr>
            <w:r w:rsidRPr="008921B4">
              <w:t>Leave client premises in a clean and tidy condition.</w:t>
            </w:r>
          </w:p>
        </w:tc>
      </w:tr>
    </w:tbl>
    <w:p w:rsidR="00000000" w:rsidRPr="008921B4" w:rsidP="008921B4">
      <w:pPr>
        <w:pStyle w:val="BodyText"/>
      </w:pPr>
    </w:p>
    <w:p w:rsidR="00000000" w:rsidRPr="008921B4" w:rsidP="008921B4">
      <w:pPr>
        <w:pStyle w:val="AllowPageBreak"/>
      </w:pPr>
    </w:p>
    <w:p w:rsidR="00000000" w:rsidRPr="008921B4" w:rsidP="008921B4">
      <w:pPr>
        <w:pStyle w:val="Heading1"/>
      </w:pPr>
      <w:bookmarkStart w:id="6" w:name="O_1163797"/>
      <w:bookmarkEnd w:id="6"/>
      <w:r w:rsidRPr="008921B4">
        <w:t>Foundation Skills</w:t>
      </w:r>
    </w:p>
    <w:p w:rsidR="00000000" w:rsidRPr="008921B4" w:rsidP="00690D8F">
      <w:pPr>
        <w:pStyle w:val="BodyText"/>
      </w:pPr>
      <w:r w:rsidRPr="008921B4">
        <w:t>Foundation skills essential to performance are explicit in the performance criteria of this unit of competency.</w:t>
      </w:r>
    </w:p>
    <w:p w:rsidR="00000000" w:rsidRPr="008921B4" w:rsidP="008921B4">
      <w:pPr>
        <w:pStyle w:val="Heading1"/>
      </w:pPr>
      <w:bookmarkStart w:id="7" w:name="O_1163796"/>
      <w:bookmarkEnd w:id="7"/>
      <w:r w:rsidRPr="008921B4">
        <w:t>Unit Mapping Information</w:t>
      </w:r>
    </w:p>
    <w:p w:rsidR="00000000" w:rsidRPr="008921B4" w:rsidP="00690D8F">
      <w:pPr>
        <w:pStyle w:val="BodyText"/>
      </w:pPr>
      <w:r w:rsidRPr="008921B4">
        <w:t>Supersedes and is equivalent to CPPFES3046A Decommission gaseous agent containers and actuators.</w:t>
      </w:r>
    </w:p>
    <w:p w:rsidR="00000000" w:rsidRPr="008921B4" w:rsidP="008921B4">
      <w:pPr>
        <w:pStyle w:val="Heading1"/>
      </w:pPr>
      <w:bookmarkStart w:id="8" w:name="O_1163789"/>
      <w:bookmarkEnd w:id="8"/>
      <w:r w:rsidRPr="008921B4">
        <w:t>Links</w:t>
      </w:r>
    </w:p>
    <w:p w:rsidR="00000000" w:rsidRPr="008921B4" w:rsidP="00690D8F">
      <w:pPr>
        <w:pStyle w:val="BodyText"/>
      </w:pPr>
      <w:r w:rsidRPr="008921B4">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C06BC2">
        <w:rPr>
          <w:rStyle w:val="Hyperlink"/>
        </w:rPr>
        <w:t>https://vetnet.gov.au/Pages/TrainingDocs.aspx?q=6f3f9672-30e8-4835-b348-205dfcf13d9b</w:t>
      </w:r>
      <w:r>
        <w:fldChar w:fldCharType="end"/>
      </w:r>
    </w:p>
    <w:p w:rsidR="00000000" w:rsidRPr="008921B4" w:rsidP="008921B4"/>
    <w:sectPr w:rsidSect="008921B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1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1B4" w:rsidRPr="00690D8F" w:rsidP="00690D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1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D8F" w:rsidP="008921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90D8F" w:rsidP="008921B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690D8F" w:rsidP="008921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1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D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921B4" w:rsidRPr="00690D8F" w:rsidP="00690D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1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D8F" w:rsidRPr="002D2AF8" w:rsidP="008921B4">
    <w:pPr>
      <w:pStyle w:val="Header"/>
      <w:framePr w:wrap="around"/>
    </w:pPr>
    <w:r>
      <w:fldChar w:fldCharType="begin"/>
    </w:r>
    <w:r>
      <w:instrText xml:space="preserve"> TITLE   \* MERGEFORMAT </w:instrText>
    </w:r>
    <w:r>
      <w:fldChar w:fldCharType="separate"/>
    </w:r>
    <w:r>
      <w:t>CPPFES3046 Decommission gaseous agent containers and actuators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690D8F" w:rsidP="008921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21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21B4"/>
    <w:pPr>
      <w:spacing w:before="360" w:after="60"/>
      <w:outlineLvl w:val="0"/>
    </w:pPr>
    <w:rPr>
      <w:sz w:val="32"/>
    </w:rPr>
  </w:style>
  <w:style w:type="paragraph" w:styleId="Heading2">
    <w:name w:val="heading 2"/>
    <w:basedOn w:val="HeadingBase"/>
    <w:next w:val="BodyText"/>
    <w:link w:val="Heading2Char"/>
    <w:qFormat/>
    <w:rsid w:val="008921B4"/>
    <w:pPr>
      <w:keepLines/>
      <w:spacing w:before="240" w:after="120"/>
      <w:outlineLvl w:val="1"/>
    </w:pPr>
    <w:rPr>
      <w:sz w:val="28"/>
      <w:szCs w:val="40"/>
    </w:rPr>
  </w:style>
  <w:style w:type="paragraph" w:styleId="Heading3">
    <w:name w:val="heading 3"/>
    <w:basedOn w:val="HeadingBase"/>
    <w:next w:val="BodyText"/>
    <w:link w:val="Heading3Char"/>
    <w:qFormat/>
    <w:rsid w:val="008921B4"/>
    <w:pPr>
      <w:spacing w:before="180" w:after="120"/>
      <w:outlineLvl w:val="2"/>
    </w:pPr>
    <w:rPr>
      <w:spacing w:val="-10"/>
      <w:kern w:val="32"/>
    </w:rPr>
  </w:style>
  <w:style w:type="paragraph" w:styleId="Heading4">
    <w:name w:val="heading 4"/>
    <w:basedOn w:val="HeadingBase"/>
    <w:next w:val="BodyText"/>
    <w:link w:val="Heading4Char"/>
    <w:qFormat/>
    <w:rsid w:val="008921B4"/>
    <w:pPr>
      <w:spacing w:before="160" w:after="120"/>
      <w:outlineLvl w:val="3"/>
    </w:pPr>
    <w:rPr>
      <w:sz w:val="22"/>
    </w:rPr>
  </w:style>
  <w:style w:type="paragraph" w:styleId="Heading5">
    <w:name w:val="heading 5"/>
    <w:basedOn w:val="HeadingBase"/>
    <w:next w:val="Normal"/>
    <w:link w:val="Heading5Char"/>
    <w:qFormat/>
    <w:rsid w:val="008921B4"/>
    <w:pPr>
      <w:spacing w:before="80"/>
      <w:outlineLvl w:val="4"/>
    </w:pPr>
    <w:rPr>
      <w:color w:val="918585"/>
      <w:sz w:val="20"/>
    </w:rPr>
  </w:style>
  <w:style w:type="paragraph" w:styleId="Heading6">
    <w:name w:val="heading 6"/>
    <w:basedOn w:val="HeadingBase"/>
    <w:next w:val="Normal"/>
    <w:link w:val="Heading6Char"/>
    <w:qFormat/>
    <w:rsid w:val="008921B4"/>
    <w:pPr>
      <w:spacing w:before="60"/>
      <w:outlineLvl w:val="5"/>
    </w:pPr>
    <w:rPr>
      <w:color w:val="918585"/>
      <w:sz w:val="20"/>
    </w:rPr>
  </w:style>
  <w:style w:type="paragraph" w:styleId="Heading7">
    <w:name w:val="heading 7"/>
    <w:basedOn w:val="Normal"/>
    <w:next w:val="Normal"/>
    <w:link w:val="Heading7Char"/>
    <w:qFormat/>
    <w:rsid w:val="008921B4"/>
    <w:pPr>
      <w:ind w:left="720"/>
      <w:outlineLvl w:val="6"/>
    </w:pPr>
    <w:rPr>
      <w:i/>
    </w:rPr>
  </w:style>
  <w:style w:type="paragraph" w:styleId="Heading8">
    <w:name w:val="heading 8"/>
    <w:basedOn w:val="Normal"/>
    <w:next w:val="Normal"/>
    <w:link w:val="Heading8Char"/>
    <w:qFormat/>
    <w:rsid w:val="008921B4"/>
    <w:pPr>
      <w:ind w:left="720"/>
      <w:outlineLvl w:val="7"/>
    </w:pPr>
    <w:rPr>
      <w:i/>
    </w:rPr>
  </w:style>
  <w:style w:type="paragraph" w:styleId="Heading9">
    <w:name w:val="heading 9"/>
    <w:basedOn w:val="Normal"/>
    <w:next w:val="Normal"/>
    <w:link w:val="Heading9Char"/>
    <w:qFormat/>
    <w:rsid w:val="008921B4"/>
    <w:pPr>
      <w:ind w:left="720"/>
      <w:outlineLvl w:val="8"/>
    </w:pPr>
    <w:rPr>
      <w:i/>
    </w:rPr>
  </w:style>
  <w:style w:type="character" w:default="1" w:styleId="DefaultParagraphFont">
    <w:name w:val="Default Paragraph Font"/>
    <w:uiPriority w:val="1"/>
    <w:unhideWhenUsed/>
    <w:rsid w:val="008921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21B4"/>
  </w:style>
  <w:style w:type="character" w:customStyle="1" w:styleId="Heading1Char">
    <w:name w:val="Heading 1 Char"/>
    <w:basedOn w:val="DefaultParagraphFont"/>
    <w:link w:val="Heading1"/>
    <w:rsid w:val="008921B4"/>
    <w:rPr>
      <w:rFonts w:ascii="Times New Roman" w:eastAsia="Times New Roman" w:hAnsi="Times New Roman" w:cs="Times New Roman"/>
      <w:b/>
      <w:sz w:val="32"/>
      <w:szCs w:val="20"/>
      <w:lang w:eastAsia="en-US"/>
    </w:rPr>
  </w:style>
  <w:style w:type="paragraph" w:styleId="BodyText">
    <w:name w:val="Body Text"/>
    <w:basedOn w:val="Normal"/>
    <w:link w:val="BodyTextChar"/>
    <w:rsid w:val="008921B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921B4"/>
    <w:rPr>
      <w:rFonts w:ascii="Times New Roman" w:eastAsia="Times New Roman" w:hAnsi="Times New Roman" w:cs="Times New Roman"/>
      <w:sz w:val="24"/>
      <w:lang w:eastAsia="en-US"/>
    </w:rPr>
  </w:style>
  <w:style w:type="paragraph" w:customStyle="1" w:styleId="SuperHeading">
    <w:name w:val="SuperHeading"/>
    <w:basedOn w:val="Normal"/>
    <w:rsid w:val="008921B4"/>
    <w:pPr>
      <w:spacing w:before="240" w:after="120"/>
      <w:outlineLvl w:val="0"/>
    </w:pPr>
    <w:rPr>
      <w:rFonts w:ascii="Times New Roman" w:hAnsi="Times New Roman"/>
      <w:b/>
      <w:sz w:val="32"/>
    </w:rPr>
  </w:style>
  <w:style w:type="paragraph" w:customStyle="1" w:styleId="AllowPageBreak">
    <w:name w:val="AllowPageBreak"/>
    <w:rsid w:val="008921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921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21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21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21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21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21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21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21B4"/>
    <w:rPr>
      <w:rFonts w:ascii="Courier New" w:eastAsia="Times New Roman" w:hAnsi="Courier New" w:cs="Times New Roman"/>
      <w:i/>
      <w:szCs w:val="20"/>
      <w:lang w:eastAsia="en-US"/>
    </w:rPr>
  </w:style>
  <w:style w:type="paragraph" w:customStyle="1" w:styleId="HeadingBase">
    <w:name w:val="Heading Base"/>
    <w:rsid w:val="008921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21B4"/>
    <w:pPr>
      <w:tabs>
        <w:tab w:val="right" w:leader="dot" w:pos="9072"/>
      </w:tabs>
      <w:ind w:left="567"/>
    </w:pPr>
    <w:rPr>
      <w:szCs w:val="22"/>
    </w:rPr>
  </w:style>
  <w:style w:type="paragraph" w:customStyle="1" w:styleId="TOCBase">
    <w:name w:val="TOC Base"/>
    <w:rsid w:val="008921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21B4"/>
    <w:pPr>
      <w:tabs>
        <w:tab w:val="right" w:leader="dot" w:pos="9072"/>
      </w:tabs>
      <w:spacing w:before="40" w:after="40"/>
      <w:ind w:left="284"/>
    </w:pPr>
    <w:rPr>
      <w:rFonts w:ascii="Times New Roman" w:hAnsi="Times New Roman"/>
    </w:rPr>
  </w:style>
  <w:style w:type="paragraph" w:styleId="TOC1">
    <w:name w:val="toc 1"/>
    <w:basedOn w:val="TOCBase"/>
    <w:next w:val="Normal"/>
    <w:rsid w:val="008921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21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21B4"/>
    <w:rPr>
      <w:rFonts w:ascii="Times New Roman" w:eastAsia="Times New Roman" w:hAnsi="Times New Roman" w:cs="Times New Roman"/>
      <w:sz w:val="16"/>
      <w:lang w:eastAsia="en-US"/>
    </w:rPr>
  </w:style>
  <w:style w:type="paragraph" w:styleId="Title">
    <w:name w:val="Title"/>
    <w:basedOn w:val="HeadingBase"/>
    <w:link w:val="TitleChar"/>
    <w:qFormat/>
    <w:rsid w:val="008921B4"/>
    <w:pPr>
      <w:spacing w:before="5040"/>
      <w:jc w:val="center"/>
    </w:pPr>
    <w:rPr>
      <w:sz w:val="48"/>
      <w:szCs w:val="72"/>
      <w:lang w:val="en-US"/>
    </w:rPr>
  </w:style>
  <w:style w:type="character" w:customStyle="1" w:styleId="TitleChar">
    <w:name w:val="Title Char"/>
    <w:basedOn w:val="DefaultParagraphFont"/>
    <w:link w:val="Title"/>
    <w:rsid w:val="008921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21B4"/>
    <w:pPr>
      <w:tabs>
        <w:tab w:val="left" w:pos="3600"/>
        <w:tab w:val="left" w:pos="3958"/>
      </w:tabs>
    </w:pPr>
  </w:style>
  <w:style w:type="paragraph" w:styleId="List">
    <w:name w:val="List"/>
    <w:basedOn w:val="BodyText"/>
    <w:next w:val="BodyText"/>
    <w:rsid w:val="008921B4"/>
    <w:pPr>
      <w:tabs>
        <w:tab w:val="left" w:pos="340"/>
      </w:tabs>
      <w:spacing w:before="60" w:after="60"/>
      <w:ind w:left="340" w:hanging="340"/>
    </w:pPr>
  </w:style>
  <w:style w:type="paragraph" w:styleId="ListBullet">
    <w:name w:val="List Bullet"/>
    <w:basedOn w:val="List"/>
    <w:rsid w:val="008921B4"/>
    <w:pPr>
      <w:numPr>
        <w:numId w:val="10"/>
      </w:numPr>
      <w:tabs>
        <w:tab w:val="clear" w:pos="340"/>
      </w:tabs>
      <w:spacing w:before="40" w:after="40"/>
    </w:pPr>
  </w:style>
  <w:style w:type="paragraph" w:customStyle="1" w:styleId="Note">
    <w:name w:val="Note"/>
    <w:basedOn w:val="BodyText"/>
    <w:rsid w:val="008921B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921B4"/>
    <w:rPr>
      <w:b/>
      <w:spacing w:val="0"/>
    </w:rPr>
  </w:style>
  <w:style w:type="paragraph" w:customStyle="1" w:styleId="SuperTitle">
    <w:name w:val="SuperTitle"/>
    <w:basedOn w:val="Title"/>
    <w:rsid w:val="008921B4"/>
    <w:pPr>
      <w:framePr w:wrap="auto" w:hAnchor="text" w:y="6049"/>
    </w:pPr>
    <w:rPr>
      <w:color w:val="000000"/>
      <w:sz w:val="40"/>
    </w:rPr>
  </w:style>
  <w:style w:type="paragraph" w:customStyle="1" w:styleId="TOCTitle">
    <w:name w:val="TOCTitle"/>
    <w:basedOn w:val="Heading1"/>
    <w:rsid w:val="008921B4"/>
    <w:pPr>
      <w:spacing w:after="240"/>
      <w:jc w:val="center"/>
      <w:outlineLvl w:val="9"/>
    </w:pPr>
    <w:rPr>
      <w:caps/>
    </w:rPr>
  </w:style>
  <w:style w:type="paragraph" w:customStyle="1" w:styleId="Version">
    <w:name w:val="Version"/>
    <w:rsid w:val="008921B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921B4"/>
    <w:pPr>
      <w:numPr>
        <w:numId w:val="11"/>
      </w:numPr>
      <w:tabs>
        <w:tab w:val="clear" w:pos="680"/>
      </w:tabs>
    </w:pPr>
  </w:style>
  <w:style w:type="paragraph" w:styleId="Index1">
    <w:name w:val="index 1"/>
    <w:basedOn w:val="Normal"/>
    <w:next w:val="Normal"/>
    <w:semiHidden/>
    <w:rsid w:val="008921B4"/>
    <w:pPr>
      <w:keepNext w:val="0"/>
      <w:tabs>
        <w:tab w:val="right" w:pos="4176"/>
      </w:tabs>
      <w:ind w:left="198" w:hanging="198"/>
    </w:pPr>
    <w:rPr>
      <w:rFonts w:ascii="Garamond" w:hAnsi="Garamond"/>
    </w:rPr>
  </w:style>
  <w:style w:type="paragraph" w:styleId="IndexHeading">
    <w:name w:val="index heading"/>
    <w:basedOn w:val="Normal"/>
    <w:next w:val="Index1"/>
    <w:semiHidden/>
    <w:rsid w:val="008921B4"/>
    <w:pPr>
      <w:spacing w:before="120" w:after="120"/>
    </w:pPr>
    <w:rPr>
      <w:rFonts w:ascii="Arial" w:hAnsi="Arial"/>
      <w:b/>
      <w:color w:val="918585"/>
      <w:sz w:val="24"/>
    </w:rPr>
  </w:style>
  <w:style w:type="paragraph" w:styleId="Header">
    <w:name w:val="header"/>
    <w:basedOn w:val="Normal"/>
    <w:link w:val="HeaderChar"/>
    <w:rsid w:val="008921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21B4"/>
    <w:rPr>
      <w:rFonts w:ascii="Times New Roman" w:eastAsia="Times New Roman" w:hAnsi="Times New Roman" w:cs="Times New Roman"/>
      <w:sz w:val="16"/>
      <w:szCs w:val="20"/>
      <w:lang w:val="en-GB" w:eastAsia="en-US"/>
    </w:rPr>
  </w:style>
  <w:style w:type="paragraph" w:customStyle="1" w:styleId="Chapter">
    <w:name w:val="Chapter"/>
    <w:basedOn w:val="Normal"/>
    <w:rsid w:val="008921B4"/>
    <w:pPr>
      <w:spacing w:before="240"/>
    </w:pPr>
    <w:rPr>
      <w:rFonts w:ascii="Times New Roman" w:hAnsi="Times New Roman"/>
      <w:smallCaps/>
      <w:spacing w:val="80"/>
      <w:sz w:val="28"/>
    </w:rPr>
  </w:style>
  <w:style w:type="paragraph" w:customStyle="1" w:styleId="InChapter">
    <w:name w:val="InChapter"/>
    <w:basedOn w:val="Heading3"/>
    <w:rsid w:val="008921B4"/>
    <w:pPr>
      <w:spacing w:after="240"/>
      <w:outlineLvl w:val="9"/>
    </w:pPr>
    <w:rPr>
      <w:noProof/>
    </w:rPr>
  </w:style>
  <w:style w:type="paragraph" w:styleId="Index2">
    <w:name w:val="index 2"/>
    <w:basedOn w:val="Normal"/>
    <w:next w:val="Normal"/>
    <w:semiHidden/>
    <w:rsid w:val="008921B4"/>
    <w:pPr>
      <w:tabs>
        <w:tab w:val="right" w:pos="4176"/>
      </w:tabs>
      <w:ind w:left="568" w:hanging="284"/>
    </w:pPr>
    <w:rPr>
      <w:rFonts w:ascii="Garamond" w:hAnsi="Garamond"/>
    </w:rPr>
  </w:style>
  <w:style w:type="paragraph" w:customStyle="1" w:styleId="Byline">
    <w:name w:val="Byline"/>
    <w:rsid w:val="008921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21B4"/>
    <w:pPr>
      <w:tabs>
        <w:tab w:val="clear" w:pos="3600"/>
        <w:tab w:val="clear" w:pos="3958"/>
      </w:tabs>
      <w:jc w:val="right"/>
    </w:pPr>
  </w:style>
  <w:style w:type="character" w:styleId="Emphasis">
    <w:name w:val="Emphasis"/>
    <w:basedOn w:val="DefaultParagraphFont"/>
    <w:qFormat/>
    <w:rsid w:val="008921B4"/>
    <w:rPr>
      <w:i/>
    </w:rPr>
  </w:style>
  <w:style w:type="paragraph" w:styleId="Caption">
    <w:name w:val="caption"/>
    <w:basedOn w:val="BodyText"/>
    <w:next w:val="Normal"/>
    <w:qFormat/>
    <w:rsid w:val="008921B4"/>
    <w:pPr>
      <w:framePr w:w="2268" w:hSpace="181" w:vSpace="181" w:wrap="around" w:vAnchor="text" w:hAnchor="page" w:x="1135" w:y="285" w:anchorLock="1"/>
    </w:pPr>
    <w:rPr>
      <w:i/>
    </w:rPr>
  </w:style>
  <w:style w:type="paragraph" w:customStyle="1" w:styleId="MiniTOCTitle">
    <w:name w:val="MiniTOCTitle"/>
    <w:basedOn w:val="Heading4"/>
    <w:rsid w:val="008921B4"/>
    <w:pPr>
      <w:spacing w:before="240"/>
      <w:outlineLvl w:val="9"/>
    </w:pPr>
    <w:rPr>
      <w:noProof/>
      <w:sz w:val="24"/>
    </w:rPr>
  </w:style>
  <w:style w:type="paragraph" w:customStyle="1" w:styleId="MiniTOCItem">
    <w:name w:val="MiniTOCItem"/>
    <w:basedOn w:val="ListBullet"/>
    <w:rsid w:val="008921B4"/>
    <w:pPr>
      <w:numPr>
        <w:numId w:val="0"/>
      </w:numPr>
      <w:tabs>
        <w:tab w:val="right" w:leader="dot" w:pos="6521"/>
      </w:tabs>
      <w:spacing w:before="0" w:after="0"/>
    </w:pPr>
  </w:style>
  <w:style w:type="paragraph" w:customStyle="1" w:styleId="TOFTitle">
    <w:name w:val="TOFTitle"/>
    <w:basedOn w:val="TOCTitle"/>
    <w:rsid w:val="008921B4"/>
  </w:style>
  <w:style w:type="paragraph" w:styleId="TableofFigures">
    <w:name w:val="table of figures"/>
    <w:basedOn w:val="Normal"/>
    <w:next w:val="Normal"/>
    <w:semiHidden/>
    <w:rsid w:val="008921B4"/>
    <w:pPr>
      <w:tabs>
        <w:tab w:val="right" w:leader="dot" w:pos="9072"/>
      </w:tabs>
      <w:ind w:left="970" w:hanging="403"/>
    </w:pPr>
    <w:rPr>
      <w:rFonts w:ascii="Times New Roman" w:hAnsi="Times New Roman"/>
      <w:b/>
    </w:rPr>
  </w:style>
  <w:style w:type="paragraph" w:styleId="ListNumber">
    <w:name w:val="List Number"/>
    <w:basedOn w:val="List"/>
    <w:rsid w:val="008921B4"/>
    <w:pPr>
      <w:numPr>
        <w:numId w:val="13"/>
      </w:numPr>
      <w:tabs>
        <w:tab w:val="clear" w:pos="340"/>
      </w:tabs>
    </w:pPr>
  </w:style>
  <w:style w:type="character" w:customStyle="1" w:styleId="WingdingSymbols">
    <w:name w:val="Wingding Symbols"/>
    <w:rsid w:val="008921B4"/>
    <w:rPr>
      <w:rFonts w:ascii="Wingdings" w:hAnsi="Wingdings"/>
    </w:rPr>
  </w:style>
  <w:style w:type="paragraph" w:customStyle="1" w:styleId="TableHeading">
    <w:name w:val="Table Heading"/>
    <w:basedOn w:val="HeadingBase"/>
    <w:rsid w:val="008921B4"/>
    <w:pPr>
      <w:keepLines/>
      <w:pBdr>
        <w:bottom w:val="single" w:sz="6" w:space="1" w:color="918585"/>
      </w:pBdr>
      <w:spacing w:before="240"/>
    </w:pPr>
  </w:style>
  <w:style w:type="character" w:customStyle="1" w:styleId="HotSpot">
    <w:name w:val="HotSpot"/>
    <w:rsid w:val="008921B4"/>
    <w:rPr>
      <w:color w:val="0033CC"/>
      <w:u w:val="none"/>
    </w:rPr>
  </w:style>
  <w:style w:type="paragraph" w:customStyle="1" w:styleId="BodyTextRight">
    <w:name w:val="Body Text Right"/>
    <w:basedOn w:val="BodyText"/>
    <w:rsid w:val="008921B4"/>
    <w:pPr>
      <w:spacing w:before="0" w:after="0"/>
      <w:jc w:val="right"/>
    </w:pPr>
  </w:style>
  <w:style w:type="paragraph" w:styleId="Index3">
    <w:name w:val="index 3"/>
    <w:basedOn w:val="ListNumber2"/>
    <w:next w:val="Normal"/>
    <w:semiHidden/>
    <w:rsid w:val="008921B4"/>
    <w:pPr>
      <w:numPr>
        <w:numId w:val="0"/>
      </w:numPr>
      <w:tabs>
        <w:tab w:val="right" w:leader="dot" w:pos="4176"/>
      </w:tabs>
    </w:pPr>
  </w:style>
  <w:style w:type="paragraph" w:styleId="ListNumber2">
    <w:name w:val="List Number 2"/>
    <w:basedOn w:val="List2"/>
    <w:rsid w:val="008921B4"/>
    <w:pPr>
      <w:numPr>
        <w:numId w:val="8"/>
      </w:numPr>
      <w:tabs>
        <w:tab w:val="clear" w:pos="1060"/>
      </w:tabs>
    </w:pPr>
  </w:style>
  <w:style w:type="paragraph" w:customStyle="1" w:styleId="MarginNote">
    <w:name w:val="Margin Note"/>
    <w:basedOn w:val="BodyText"/>
    <w:rsid w:val="008921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21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21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21B4"/>
    <w:rPr>
      <w:sz w:val="32"/>
    </w:rPr>
  </w:style>
  <w:style w:type="paragraph" w:customStyle="1" w:styleId="HeadingProcedure">
    <w:name w:val="Heading Procedure"/>
    <w:basedOn w:val="HeadingBase"/>
    <w:next w:val="Normal"/>
    <w:rsid w:val="008921B4"/>
    <w:pPr>
      <w:tabs>
        <w:tab w:val="left" w:pos="0"/>
      </w:tabs>
      <w:spacing w:before="120" w:after="60"/>
    </w:pPr>
    <w:rPr>
      <w:i/>
      <w:color w:val="918585"/>
      <w:sz w:val="22"/>
    </w:rPr>
  </w:style>
  <w:style w:type="paragraph" w:customStyle="1" w:styleId="TableBodyText">
    <w:name w:val="Table Body Text"/>
    <w:basedOn w:val="BodyText"/>
    <w:rsid w:val="008921B4"/>
    <w:pPr>
      <w:spacing w:before="60" w:after="60"/>
    </w:pPr>
  </w:style>
  <w:style w:type="paragraph" w:styleId="ListContinue">
    <w:name w:val="List Continue"/>
    <w:basedOn w:val="List"/>
    <w:rsid w:val="008921B4"/>
    <w:pPr>
      <w:ind w:firstLine="0"/>
    </w:pPr>
  </w:style>
  <w:style w:type="paragraph" w:customStyle="1" w:styleId="ListNote">
    <w:name w:val="List Note"/>
    <w:basedOn w:val="List"/>
    <w:rsid w:val="008921B4"/>
    <w:pPr>
      <w:pBdr>
        <w:top w:val="single" w:sz="6" w:space="2" w:color="918585"/>
        <w:bottom w:val="single" w:sz="6" w:space="2" w:color="918585"/>
      </w:pBdr>
      <w:tabs>
        <w:tab w:val="left" w:pos="1021"/>
      </w:tabs>
      <w:ind w:firstLine="0"/>
    </w:pPr>
  </w:style>
  <w:style w:type="paragraph" w:customStyle="1" w:styleId="Warning">
    <w:name w:val="Warning"/>
    <w:basedOn w:val="BodyText"/>
    <w:rsid w:val="008921B4"/>
    <w:pPr>
      <w:shd w:val="clear" w:color="auto" w:fill="D9D9D9"/>
      <w:tabs>
        <w:tab w:val="left" w:pos="992"/>
      </w:tabs>
      <w:ind w:left="119" w:right="119"/>
    </w:pPr>
    <w:rPr>
      <w:sz w:val="20"/>
    </w:rPr>
  </w:style>
  <w:style w:type="paragraph" w:customStyle="1" w:styleId="MarginIcons">
    <w:name w:val="Margin Icons"/>
    <w:basedOn w:val="BodyText"/>
    <w:rsid w:val="008921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21B4"/>
    <w:rPr>
      <w:rFonts w:ascii="Courier New" w:hAnsi="Courier New"/>
    </w:rPr>
  </w:style>
  <w:style w:type="paragraph" w:customStyle="1" w:styleId="NoteBullet">
    <w:name w:val="Note Bullet"/>
    <w:basedOn w:val="Note"/>
    <w:rsid w:val="008921B4"/>
    <w:pPr>
      <w:tabs>
        <w:tab w:val="clear" w:pos="680"/>
      </w:tabs>
      <w:spacing w:before="60" w:after="60"/>
    </w:pPr>
  </w:style>
  <w:style w:type="paragraph" w:customStyle="1" w:styleId="SubHeading2">
    <w:name w:val="SubHeading2"/>
    <w:basedOn w:val="HeadingBase"/>
    <w:rsid w:val="008921B4"/>
    <w:pPr>
      <w:spacing w:before="240" w:after="60"/>
    </w:pPr>
    <w:rPr>
      <w:sz w:val="20"/>
    </w:rPr>
  </w:style>
  <w:style w:type="paragraph" w:customStyle="1" w:styleId="SubHeading1">
    <w:name w:val="SubHeading1"/>
    <w:basedOn w:val="HeadingBase"/>
    <w:rsid w:val="008921B4"/>
    <w:pPr>
      <w:spacing w:before="240" w:after="60"/>
    </w:pPr>
    <w:rPr>
      <w:color w:val="918585"/>
      <w:sz w:val="22"/>
    </w:rPr>
  </w:style>
  <w:style w:type="paragraph" w:customStyle="1" w:styleId="SideHeading">
    <w:name w:val="Side Heading"/>
    <w:basedOn w:val="HeadingBase"/>
    <w:rsid w:val="008921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21B4"/>
    <w:pPr>
      <w:numPr>
        <w:numId w:val="9"/>
      </w:numPr>
    </w:pPr>
  </w:style>
  <w:style w:type="paragraph" w:styleId="PlainText">
    <w:name w:val="Plain Text"/>
    <w:basedOn w:val="Normal"/>
    <w:link w:val="PlainTextChar"/>
    <w:rsid w:val="008921B4"/>
    <w:rPr>
      <w:sz w:val="20"/>
    </w:rPr>
  </w:style>
  <w:style w:type="character" w:customStyle="1" w:styleId="PlainTextChar">
    <w:name w:val="Plain Text Char"/>
    <w:basedOn w:val="DefaultParagraphFont"/>
    <w:link w:val="PlainText"/>
    <w:rsid w:val="008921B4"/>
    <w:rPr>
      <w:rFonts w:ascii="Courier New" w:eastAsia="Times New Roman" w:hAnsi="Courier New" w:cs="Times New Roman"/>
      <w:sz w:val="20"/>
      <w:szCs w:val="20"/>
      <w:lang w:eastAsia="en-US"/>
    </w:rPr>
  </w:style>
  <w:style w:type="character" w:customStyle="1" w:styleId="MenuOption">
    <w:name w:val="Menu Option"/>
    <w:basedOn w:val="DefaultParagraphFont"/>
    <w:rsid w:val="008921B4"/>
    <w:rPr>
      <w:b/>
      <w:smallCaps/>
    </w:rPr>
  </w:style>
  <w:style w:type="paragraph" w:customStyle="1" w:styleId="TableListNumber">
    <w:name w:val="Table List Number"/>
    <w:basedOn w:val="ListNumber"/>
    <w:rsid w:val="008921B4"/>
    <w:pPr>
      <w:numPr>
        <w:numId w:val="0"/>
      </w:numPr>
    </w:pPr>
  </w:style>
  <w:style w:type="paragraph" w:styleId="TOC4">
    <w:name w:val="toc 4"/>
    <w:basedOn w:val="TOCBase"/>
    <w:next w:val="Normal"/>
    <w:semiHidden/>
    <w:rsid w:val="008921B4"/>
    <w:pPr>
      <w:tabs>
        <w:tab w:val="right" w:leader="dot" w:pos="9071"/>
      </w:tabs>
      <w:ind w:left="1701"/>
    </w:pPr>
  </w:style>
  <w:style w:type="paragraph" w:customStyle="1" w:styleId="ListAlpha">
    <w:name w:val="List Alpha"/>
    <w:basedOn w:val="List"/>
    <w:rsid w:val="008921B4"/>
    <w:pPr>
      <w:numPr>
        <w:numId w:val="7"/>
      </w:numPr>
    </w:pPr>
  </w:style>
  <w:style w:type="paragraph" w:customStyle="1" w:styleId="ListAlpha2">
    <w:name w:val="List Alpha 2"/>
    <w:basedOn w:val="List2"/>
    <w:rsid w:val="008921B4"/>
    <w:pPr>
      <w:numPr>
        <w:numId w:val="6"/>
      </w:numPr>
    </w:pPr>
  </w:style>
  <w:style w:type="paragraph" w:styleId="List2">
    <w:name w:val="List 2"/>
    <w:basedOn w:val="BodyText"/>
    <w:rsid w:val="008921B4"/>
    <w:pPr>
      <w:tabs>
        <w:tab w:val="left" w:pos="680"/>
      </w:tabs>
      <w:spacing w:before="60" w:after="60"/>
      <w:ind w:left="680" w:hanging="340"/>
    </w:pPr>
  </w:style>
  <w:style w:type="paragraph" w:styleId="List3">
    <w:name w:val="List 3"/>
    <w:basedOn w:val="BodyText"/>
    <w:rsid w:val="008921B4"/>
    <w:pPr>
      <w:tabs>
        <w:tab w:val="left" w:pos="1021"/>
      </w:tabs>
      <w:spacing w:before="60" w:after="60"/>
      <w:ind w:left="1020" w:hanging="340"/>
    </w:pPr>
  </w:style>
  <w:style w:type="paragraph" w:styleId="List4">
    <w:name w:val="List 4"/>
    <w:basedOn w:val="BodyText"/>
    <w:rsid w:val="008921B4"/>
    <w:pPr>
      <w:tabs>
        <w:tab w:val="left" w:pos="1361"/>
      </w:tabs>
      <w:spacing w:before="60" w:after="60"/>
      <w:ind w:left="1361" w:hanging="340"/>
    </w:pPr>
  </w:style>
  <w:style w:type="paragraph" w:styleId="List5">
    <w:name w:val="List 5"/>
    <w:basedOn w:val="BodyText"/>
    <w:rsid w:val="008921B4"/>
    <w:pPr>
      <w:tabs>
        <w:tab w:val="left" w:pos="1701"/>
      </w:tabs>
      <w:spacing w:before="60" w:after="60"/>
      <w:ind w:left="1701" w:hanging="340"/>
    </w:pPr>
  </w:style>
  <w:style w:type="paragraph" w:styleId="ListBullet3">
    <w:name w:val="List Bullet 3"/>
    <w:basedOn w:val="List3"/>
    <w:rsid w:val="008921B4"/>
    <w:pPr>
      <w:numPr>
        <w:numId w:val="12"/>
      </w:numPr>
      <w:tabs>
        <w:tab w:val="clear" w:pos="1021"/>
      </w:tabs>
      <w:ind w:left="1037" w:hanging="357"/>
    </w:pPr>
  </w:style>
  <w:style w:type="paragraph" w:styleId="ListBullet4">
    <w:name w:val="List Bullet 4"/>
    <w:basedOn w:val="List4"/>
    <w:rsid w:val="008921B4"/>
    <w:pPr>
      <w:numPr>
        <w:numId w:val="1"/>
      </w:numPr>
      <w:tabs>
        <w:tab w:val="clear" w:pos="1361"/>
      </w:tabs>
    </w:pPr>
  </w:style>
  <w:style w:type="paragraph" w:styleId="ListBullet5">
    <w:name w:val="List Bullet 5"/>
    <w:basedOn w:val="List5"/>
    <w:rsid w:val="008921B4"/>
    <w:pPr>
      <w:numPr>
        <w:numId w:val="2"/>
      </w:numPr>
    </w:pPr>
  </w:style>
  <w:style w:type="paragraph" w:styleId="ListContinue2">
    <w:name w:val="List Continue 2"/>
    <w:basedOn w:val="List2"/>
    <w:rsid w:val="008921B4"/>
    <w:pPr>
      <w:ind w:firstLine="0"/>
    </w:pPr>
  </w:style>
  <w:style w:type="paragraph" w:styleId="ListContinue3">
    <w:name w:val="List Continue 3"/>
    <w:basedOn w:val="List3"/>
    <w:rsid w:val="008921B4"/>
    <w:pPr>
      <w:ind w:left="1021" w:firstLine="0"/>
    </w:pPr>
  </w:style>
  <w:style w:type="paragraph" w:styleId="ListContinue4">
    <w:name w:val="List Continue 4"/>
    <w:basedOn w:val="List4"/>
    <w:rsid w:val="008921B4"/>
    <w:pPr>
      <w:ind w:firstLine="0"/>
    </w:pPr>
  </w:style>
  <w:style w:type="paragraph" w:styleId="ListContinue5">
    <w:name w:val="List Continue 5"/>
    <w:basedOn w:val="List5"/>
    <w:rsid w:val="008921B4"/>
    <w:pPr>
      <w:ind w:firstLine="0"/>
    </w:pPr>
  </w:style>
  <w:style w:type="paragraph" w:styleId="ListNumber3">
    <w:name w:val="List Number 3"/>
    <w:basedOn w:val="List3"/>
    <w:rsid w:val="008921B4"/>
    <w:pPr>
      <w:numPr>
        <w:numId w:val="3"/>
      </w:numPr>
    </w:pPr>
  </w:style>
  <w:style w:type="paragraph" w:styleId="ListNumber4">
    <w:name w:val="List Number 4"/>
    <w:basedOn w:val="List4"/>
    <w:rsid w:val="008921B4"/>
    <w:pPr>
      <w:numPr>
        <w:numId w:val="4"/>
      </w:numPr>
    </w:pPr>
  </w:style>
  <w:style w:type="paragraph" w:styleId="ListNumber5">
    <w:name w:val="List Number 5"/>
    <w:basedOn w:val="List5"/>
    <w:rsid w:val="008921B4"/>
    <w:pPr>
      <w:numPr>
        <w:numId w:val="5"/>
      </w:numPr>
    </w:pPr>
  </w:style>
  <w:style w:type="paragraph" w:styleId="BlockText">
    <w:name w:val="Block Text"/>
    <w:basedOn w:val="Normal"/>
    <w:rsid w:val="008921B4"/>
    <w:pPr>
      <w:spacing w:after="120"/>
      <w:ind w:left="1440" w:right="1440"/>
    </w:pPr>
  </w:style>
  <w:style w:type="character" w:customStyle="1" w:styleId="Subscript">
    <w:name w:val="Subscript"/>
    <w:basedOn w:val="DefaultParagraphFont"/>
    <w:rsid w:val="008921B4"/>
    <w:rPr>
      <w:sz w:val="16"/>
      <w:vertAlign w:val="subscript"/>
    </w:rPr>
  </w:style>
  <w:style w:type="character" w:customStyle="1" w:styleId="Superscript">
    <w:name w:val="Superscript"/>
    <w:basedOn w:val="DefaultParagraphFont"/>
    <w:rsid w:val="008921B4"/>
    <w:rPr>
      <w:sz w:val="16"/>
      <w:vertAlign w:val="superscript"/>
    </w:rPr>
  </w:style>
  <w:style w:type="character" w:customStyle="1" w:styleId="Symbols">
    <w:name w:val="Symbols"/>
    <w:basedOn w:val="DefaultParagraphFont"/>
    <w:rsid w:val="008921B4"/>
    <w:rPr>
      <w:rFonts w:ascii="Symbol" w:hAnsi="Symbol"/>
    </w:rPr>
  </w:style>
  <w:style w:type="character" w:customStyle="1" w:styleId="MenuOptions">
    <w:name w:val="Menu Options"/>
    <w:basedOn w:val="DefaultParagraphFont"/>
    <w:rsid w:val="008921B4"/>
    <w:rPr>
      <w:rFonts w:ascii="Arial Narrow" w:hAnsi="Arial Narrow"/>
      <w:smallCaps/>
    </w:rPr>
  </w:style>
  <w:style w:type="character" w:customStyle="1" w:styleId="Buttons">
    <w:name w:val="Buttons"/>
    <w:basedOn w:val="DefaultParagraphFont"/>
    <w:rsid w:val="008921B4"/>
    <w:rPr>
      <w:b/>
    </w:rPr>
  </w:style>
  <w:style w:type="character" w:customStyle="1" w:styleId="Underlined">
    <w:name w:val="Underlined"/>
    <w:basedOn w:val="DefaultParagraphFont"/>
    <w:rsid w:val="008921B4"/>
    <w:rPr>
      <w:u w:val="single"/>
    </w:rPr>
  </w:style>
  <w:style w:type="paragraph" w:customStyle="1" w:styleId="TableBodyTextRight">
    <w:name w:val="Table Body Text Right"/>
    <w:basedOn w:val="TableBodyText"/>
    <w:rsid w:val="008921B4"/>
    <w:pPr>
      <w:widowControl w:val="0"/>
      <w:autoSpaceDE w:val="0"/>
      <w:autoSpaceDN w:val="0"/>
      <w:adjustRightInd w:val="0"/>
      <w:jc w:val="right"/>
    </w:pPr>
    <w:rPr>
      <w:rFonts w:cs="Arial"/>
      <w:szCs w:val="18"/>
    </w:rPr>
  </w:style>
  <w:style w:type="paragraph" w:customStyle="1" w:styleId="CopyrightText">
    <w:name w:val="Copyright Text"/>
    <w:basedOn w:val="BodyText"/>
    <w:rsid w:val="008921B4"/>
    <w:rPr>
      <w:sz w:val="18"/>
    </w:rPr>
  </w:style>
  <w:style w:type="paragraph" w:customStyle="1" w:styleId="BodySmallRight">
    <w:name w:val="Body Small Right"/>
    <w:basedOn w:val="BodyTextRight"/>
    <w:rsid w:val="008921B4"/>
    <w:rPr>
      <w:sz w:val="18"/>
      <w:szCs w:val="18"/>
    </w:rPr>
  </w:style>
  <w:style w:type="paragraph" w:customStyle="1" w:styleId="MarginEdition">
    <w:name w:val="Margin Edition"/>
    <w:basedOn w:val="MarginNote"/>
    <w:rsid w:val="008921B4"/>
    <w:pPr>
      <w:spacing w:before="0" w:after="0"/>
    </w:pPr>
    <w:rPr>
      <w:rFonts w:ascii="Times New Roman" w:hAnsi="Times New Roman"/>
      <w:color w:val="999999"/>
    </w:rPr>
  </w:style>
  <w:style w:type="paragraph" w:customStyle="1" w:styleId="Spacer">
    <w:name w:val="Spacer"/>
    <w:basedOn w:val="Normal"/>
    <w:rsid w:val="008921B4"/>
    <w:rPr>
      <w:sz w:val="2"/>
      <w:szCs w:val="2"/>
    </w:rPr>
  </w:style>
  <w:style w:type="character" w:customStyle="1" w:styleId="Small">
    <w:name w:val="Small"/>
    <w:basedOn w:val="DefaultParagraphFont"/>
    <w:rsid w:val="008921B4"/>
    <w:rPr>
      <w:sz w:val="16"/>
    </w:rPr>
  </w:style>
  <w:style w:type="paragraph" w:customStyle="1" w:styleId="WideTable">
    <w:name w:val="Wide Table"/>
    <w:basedOn w:val="Normal"/>
    <w:rsid w:val="008921B4"/>
    <w:pPr>
      <w:ind w:left="-1418"/>
    </w:pPr>
    <w:rPr>
      <w:sz w:val="2"/>
      <w:szCs w:val="2"/>
    </w:rPr>
  </w:style>
  <w:style w:type="character" w:styleId="PageNumber">
    <w:name w:val="page number"/>
    <w:basedOn w:val="DefaultParagraphFont"/>
    <w:rsid w:val="008921B4"/>
  </w:style>
  <w:style w:type="paragraph" w:styleId="Quote">
    <w:name w:val="Quote"/>
    <w:basedOn w:val="Heading1"/>
    <w:link w:val="QuoteChar"/>
    <w:qFormat/>
    <w:rsid w:val="008921B4"/>
    <w:rPr>
      <w:b w:val="0"/>
      <w:sz w:val="72"/>
      <w:szCs w:val="72"/>
      <w:lang w:val="en-NZ"/>
    </w:rPr>
  </w:style>
  <w:style w:type="character" w:customStyle="1" w:styleId="QuoteChar">
    <w:name w:val="Quote Char"/>
    <w:basedOn w:val="DefaultParagraphFont"/>
    <w:link w:val="Quote"/>
    <w:rsid w:val="008921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21B4"/>
    <w:pPr>
      <w:pageBreakBefore/>
    </w:pPr>
  </w:style>
  <w:style w:type="paragraph" w:customStyle="1" w:styleId="Border">
    <w:name w:val="Border"/>
    <w:basedOn w:val="Normal"/>
    <w:qFormat/>
    <w:rsid w:val="008921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21B4"/>
    <w:rPr>
      <w:b/>
      <w:bCs/>
      <w:i/>
      <w:iCs/>
      <w:color w:val="auto"/>
    </w:rPr>
  </w:style>
  <w:style w:type="paragraph" w:styleId="IntenseQuote">
    <w:name w:val="Intense Quote"/>
    <w:basedOn w:val="Normal"/>
    <w:next w:val="Normal"/>
    <w:link w:val="IntenseQuoteChar"/>
    <w:uiPriority w:val="30"/>
    <w:qFormat/>
    <w:rsid w:val="008921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21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21B4"/>
    <w:rPr>
      <w:smallCaps/>
      <w:color w:val="auto"/>
      <w:u w:val="single"/>
    </w:rPr>
  </w:style>
  <w:style w:type="character" w:styleId="IntenseReference">
    <w:name w:val="Intense Reference"/>
    <w:basedOn w:val="DefaultParagraphFont"/>
    <w:uiPriority w:val="32"/>
    <w:qFormat/>
    <w:rsid w:val="008921B4"/>
    <w:rPr>
      <w:b/>
      <w:bCs/>
      <w:smallCaps/>
      <w:color w:val="auto"/>
      <w:spacing w:val="5"/>
      <w:u w:val="single"/>
    </w:rPr>
  </w:style>
  <w:style w:type="paragraph" w:customStyle="1" w:styleId="2ColumnHeading">
    <w:name w:val="2Column Heading"/>
    <w:basedOn w:val="BodyText"/>
    <w:qFormat/>
    <w:rsid w:val="008921B4"/>
    <w:pPr>
      <w:spacing w:after="60"/>
      <w:ind w:left="-2268"/>
    </w:pPr>
    <w:rPr>
      <w:b/>
    </w:rPr>
  </w:style>
  <w:style w:type="paragraph" w:customStyle="1" w:styleId="Heading1TOC">
    <w:name w:val="Heading1 TOC"/>
    <w:basedOn w:val="Normal"/>
    <w:qFormat/>
    <w:rsid w:val="008921B4"/>
    <w:pPr>
      <w:spacing w:before="240" w:after="120"/>
    </w:pPr>
    <w:rPr>
      <w:rFonts w:ascii="Times New Roman" w:hAnsi="Times New Roman"/>
      <w:b/>
      <w:sz w:val="32"/>
    </w:rPr>
  </w:style>
  <w:style w:type="paragraph" w:customStyle="1" w:styleId="Heading2TOC">
    <w:name w:val="Heading2 TOC"/>
    <w:basedOn w:val="Normal"/>
    <w:qFormat/>
    <w:rsid w:val="008921B4"/>
    <w:pPr>
      <w:spacing w:before="240" w:after="60"/>
    </w:pPr>
    <w:rPr>
      <w:rFonts w:ascii="Times New Roman" w:hAnsi="Times New Roman"/>
      <w:b/>
      <w:sz w:val="28"/>
    </w:rPr>
  </w:style>
  <w:style w:type="character" w:customStyle="1" w:styleId="Underline">
    <w:name w:val="Underline"/>
    <w:basedOn w:val="DefaultParagraphFont"/>
    <w:qFormat/>
    <w:rsid w:val="008921B4"/>
    <w:rPr>
      <w:u w:val="single"/>
    </w:rPr>
  </w:style>
  <w:style w:type="character" w:customStyle="1" w:styleId="BoldandItalics">
    <w:name w:val="Bold and Italics"/>
    <w:qFormat/>
    <w:rsid w:val="008921B4"/>
    <w:rPr>
      <w:b/>
      <w:i/>
      <w:u w:val="none"/>
    </w:rPr>
  </w:style>
  <w:style w:type="paragraph" w:styleId="BalloonText">
    <w:name w:val="Balloon Text"/>
    <w:basedOn w:val="Normal"/>
    <w:link w:val="BalloonTextChar"/>
    <w:rsid w:val="008921B4"/>
    <w:rPr>
      <w:rFonts w:ascii="Tahoma" w:hAnsi="Tahoma" w:cs="Tahoma"/>
      <w:sz w:val="16"/>
      <w:szCs w:val="16"/>
    </w:rPr>
  </w:style>
  <w:style w:type="character" w:customStyle="1" w:styleId="BalloonTextChar">
    <w:name w:val="Balloon Text Char"/>
    <w:basedOn w:val="DefaultParagraphFont"/>
    <w:link w:val="BalloonText"/>
    <w:rsid w:val="008921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21B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921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21B4"/>
    <w:rPr>
      <w:b/>
      <w:color w:val="660033"/>
      <w:spacing w:val="0"/>
    </w:rPr>
  </w:style>
  <w:style w:type="paragraph" w:customStyle="1" w:styleId="Nameditemlist">
    <w:name w:val="Named item list"/>
    <w:basedOn w:val="BodyText"/>
    <w:qFormat/>
    <w:rsid w:val="008921B4"/>
    <w:pPr>
      <w:tabs>
        <w:tab w:val="left" w:pos="2835"/>
      </w:tabs>
      <w:ind w:left="2835" w:hanging="2835"/>
    </w:pPr>
  </w:style>
  <w:style w:type="paragraph" w:customStyle="1" w:styleId="BodyTextnopadding">
    <w:name w:val="Body Text no padding"/>
    <w:basedOn w:val="BodyText"/>
    <w:qFormat/>
    <w:rsid w:val="008921B4"/>
    <w:pPr>
      <w:spacing w:before="0" w:after="0"/>
    </w:pPr>
  </w:style>
  <w:style w:type="paragraph" w:customStyle="1" w:styleId="BodyTextBold">
    <w:name w:val="Body Text Bold"/>
    <w:basedOn w:val="BodyText"/>
    <w:qFormat/>
    <w:rsid w:val="008921B4"/>
    <w:rPr>
      <w:b/>
    </w:rPr>
  </w:style>
  <w:style w:type="character" w:styleId="Hyperlink">
    <w:name w:val="Hyperlink"/>
    <w:basedOn w:val="DefaultParagraphFont"/>
    <w:uiPriority w:val="99"/>
    <w:unhideWhenUsed/>
    <w:rsid w:val="00690D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706</Words>
  <Characters>4590</Characters>
  <Application>Microsoft Office Word</Application>
  <DocSecurity>0</DocSecurity>
  <Lines>199</Lines>
  <Paragraphs>89</Paragraphs>
  <ScaleCrop>false</ScaleCrop>
  <Company>Author-it Software Corporation Ltd.</Company>
  <LinksUpToDate>false</LinksUpToDate>
  <CharactersWithSpaces>5207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CPPFES3046 Decommission gaseous agent containers and actuators</dc:title>
  <dc:subject>Approved</dc:subject>
  <dc:creator>Artibus Innovation</dc:creator>
  <cp:keywords>Release: 1</cp:keywords>
  <dc:description>Review Date: 12 April 2008</dc:description>
  <cp:lastModifiedBy>HSD_TPCMSd.prod</cp:lastModifiedBy>
  <cp:revision>3</cp:revision>
  <dcterms:created xsi:type="dcterms:W3CDTF">2022-12-19T06:35:00Z</dcterms:created>
  <dcterms:modified xsi:type="dcterms:W3CDTF">2022-12-19T06:35:00Z</dcterms:modified>
</cp:coreProperties>
</file>