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2FC" w:rsidP="00C472FC">
      <w:pPr>
        <w:pStyle w:val="Title"/>
      </w:pPr>
      <w:r>
        <w:fldChar w:fldCharType="begin"/>
      </w:r>
      <w:r>
        <w:instrText xml:space="preserve"> TITLE   \* MERGEFORMAT </w:instrText>
      </w:r>
      <w:r>
        <w:fldChar w:fldCharType="separate"/>
      </w:r>
      <w:r>
        <w:t>CPPFES3046 Decommission gaseous agent containers and actuators</w:t>
      </w:r>
      <w:r>
        <w:fldChar w:fldCharType="end"/>
      </w:r>
    </w:p>
    <w:p w:rsidR="00C472FC" w:rsidP="00C472FC">
      <w:pPr>
        <w:pStyle w:val="Version"/>
        <w:sectPr w:rsidSect="003B68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6860" w:rsidP="003B6860">
      <w:pPr>
        <w:pStyle w:val="SuperHeading"/>
      </w:pPr>
      <w:r w:rsidRPr="003B6860">
        <w:t>CPPFES3046 Decommission gaseous agent containers and actuators</w:t>
      </w:r>
    </w:p>
    <w:p w:rsidR="00000000" w:rsidRPr="003B6860" w:rsidP="003B6860">
      <w:pPr>
        <w:pStyle w:val="Heading1"/>
      </w:pPr>
      <w:bookmarkStart w:id="1" w:name="O_1163795"/>
      <w:bookmarkEnd w:id="1"/>
      <w:r w:rsidRPr="003B6860">
        <w:t>Modification History</w:t>
      </w:r>
    </w:p>
    <w:tbl>
      <w:tblPr>
        <w:tblW w:w="0" w:type="auto"/>
        <w:tblLayout w:type="fixed"/>
        <w:tblCellMar>
          <w:left w:w="62" w:type="dxa"/>
          <w:right w:w="62" w:type="dxa"/>
        </w:tblCellMar>
        <w:tblLook w:val="0000"/>
      </w:tblPr>
      <w:tblGrid>
        <w:gridCol w:w="1305"/>
        <w:gridCol w:w="7597"/>
      </w:tblGrid>
      <w:tr w:rsidTr="003B6860">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Release 1</w:t>
            </w:r>
          </w:p>
        </w:tc>
        <w:tc>
          <w:tcPr>
            <w:tcW w:w="7597" w:type="dxa"/>
            <w:tcBorders>
              <w:top w:val="nil"/>
              <w:left w:val="nil"/>
              <w:bottom w:val="nil"/>
              <w:right w:val="nil"/>
            </w:tcBorders>
            <w:tcMar>
              <w:top w:w="0" w:type="dxa"/>
              <w:left w:w="62" w:type="dxa"/>
              <w:bottom w:w="0" w:type="dxa"/>
              <w:right w:w="62" w:type="dxa"/>
            </w:tcMar>
          </w:tcPr>
          <w:p w:rsidR="00000000" w:rsidRPr="003B6860" w:rsidP="003B6860">
            <w:pPr>
              <w:pStyle w:val="BodyText"/>
            </w:pPr>
            <w:r w:rsidRPr="003B6860">
              <w:t>This version first released with CPP Property Services Training Package Release 13.0.</w:t>
            </w:r>
          </w:p>
          <w:p w:rsidR="00000000" w:rsidRPr="003B6860" w:rsidP="003B6860">
            <w:pPr>
              <w:pStyle w:val="BodyText"/>
            </w:pPr>
            <w:r w:rsidRPr="003B6860">
              <w:t>Supersedes and is equivalent to CPPFES3046A Decommission gaseous agent containers and actuators.  Unit updated to meet the Standards for Training Packages 2012.</w:t>
            </w:r>
          </w:p>
        </w:tc>
      </w:tr>
    </w:tbl>
    <w:p w:rsidR="00000000" w:rsidRPr="003B6860" w:rsidP="003B6860">
      <w:pPr>
        <w:pStyle w:val="BodyText"/>
      </w:pPr>
    </w:p>
    <w:p w:rsidR="00000000" w:rsidRPr="003B6860" w:rsidP="003B6860">
      <w:pPr>
        <w:pStyle w:val="AllowPageBreak"/>
      </w:pPr>
    </w:p>
    <w:p w:rsidR="00000000" w:rsidRPr="003B6860" w:rsidP="003B6860">
      <w:pPr>
        <w:pStyle w:val="Heading1"/>
      </w:pPr>
      <w:bookmarkStart w:id="2" w:name="O_1163801"/>
      <w:bookmarkEnd w:id="2"/>
      <w:r w:rsidRPr="003B6860">
        <w:t>Application</w:t>
      </w:r>
    </w:p>
    <w:p w:rsidR="00000000" w:rsidRPr="003B6860" w:rsidP="00C472FC">
      <w:pPr>
        <w:pStyle w:val="BodyText"/>
      </w:pPr>
      <w:r w:rsidRPr="003B6860">
        <w:t>This unit of competency specifies the skills and knowledge req</w:t>
      </w:r>
      <w:r w:rsidRPr="003B6860">
        <w:t>uired to decommission gaseous agent containers and actuators and prepare containers and components for transport. Gaseous agent containers may contain extinguishing agents which are ozone depleting substances (ODS) and synthetic greenhouse gases (SGG).</w:t>
      </w:r>
    </w:p>
    <w:p w:rsidR="00000000" w:rsidRPr="003B6860" w:rsidP="00C472FC">
      <w:pPr>
        <w:pStyle w:val="BodyText"/>
      </w:pPr>
      <w:r w:rsidRPr="003B6860">
        <w:t>The</w:t>
      </w:r>
      <w:r w:rsidRPr="003B6860">
        <w:t xml:space="preserve"> unit does not cover any installation, maintenance, replacement or repair functions that are restricted to licensed trades or occupations.</w:t>
      </w:r>
    </w:p>
    <w:p w:rsidR="00000000" w:rsidRPr="003B6860" w:rsidP="00C472FC">
      <w:pPr>
        <w:pStyle w:val="BodyText"/>
      </w:pPr>
      <w:r w:rsidRPr="003B6860">
        <w:t>A person who has achieved this unit of competency would be expected to take responsibility for organising and complet</w:t>
      </w:r>
      <w:r w:rsidRPr="003B6860">
        <w:t>ing these tasks with a high degree of self-direction.</w:t>
      </w:r>
    </w:p>
    <w:p w:rsidR="00000000" w:rsidRPr="003B6860" w:rsidP="00C472FC">
      <w:pPr>
        <w:pStyle w:val="BodyText"/>
      </w:pPr>
      <w:r w:rsidRPr="003B6860">
        <w:t>ODS and SGG are gaseous fire-extinguishing agents listed in Schedule 1 of the Ozone Protection and Synthetic Greenhouse Gas Management Act 1989 and by law, can only be handled by people who hold an appr</w:t>
      </w:r>
      <w:r w:rsidRPr="003B6860">
        <w:t>opriate extinguishing agent handling licence (EAHL). This unit supports one or more EAHLs prescribed under the Act. For further information, check with the relevant regulatory authority.</w:t>
      </w:r>
    </w:p>
    <w:p w:rsidR="00000000" w:rsidRPr="003B6860" w:rsidP="003B6860">
      <w:pPr>
        <w:pStyle w:val="Heading1"/>
      </w:pPr>
      <w:bookmarkStart w:id="3" w:name="O_1163800"/>
      <w:bookmarkEnd w:id="3"/>
      <w:r w:rsidRPr="003B6860">
        <w:t>Pre-requisite Unit</w:t>
      </w:r>
    </w:p>
    <w:p w:rsidR="00000000" w:rsidRPr="003B6860" w:rsidP="00C472FC">
      <w:pPr>
        <w:pStyle w:val="BodyText"/>
      </w:pPr>
      <w:r w:rsidRPr="003B6860">
        <w:t>Nil.</w:t>
      </w:r>
    </w:p>
    <w:p w:rsidR="00000000" w:rsidRPr="003B6860" w:rsidP="003B6860">
      <w:pPr>
        <w:pStyle w:val="Heading1"/>
      </w:pPr>
      <w:bookmarkStart w:id="4" w:name="O_1163799"/>
      <w:bookmarkEnd w:id="4"/>
      <w:r w:rsidRPr="003B6860">
        <w:t>Unit Se</w:t>
      </w:r>
      <w:r w:rsidRPr="003B6860">
        <w:t>ctor</w:t>
      </w:r>
    </w:p>
    <w:p w:rsidR="00000000" w:rsidRPr="003B6860" w:rsidP="00C472FC">
      <w:pPr>
        <w:pStyle w:val="BodyText"/>
      </w:pPr>
      <w:r w:rsidRPr="003B6860">
        <w:t>Fire Protection Inspection and Testing</w:t>
      </w:r>
    </w:p>
    <w:p w:rsidR="00000000" w:rsidRPr="003B6860" w:rsidP="003B6860">
      <w:pPr>
        <w:pStyle w:val="Heading1"/>
      </w:pPr>
      <w:bookmarkStart w:id="5" w:name="O_1163798"/>
      <w:bookmarkEnd w:id="5"/>
      <w:r w:rsidRPr="003B686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B686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Performance criteria describe what needs to be done to demonstrate achievement of the element.</w:t>
            </w:r>
          </w:p>
        </w:tc>
      </w:tr>
      <w:tr w:rsidTr="003B686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1</w:t>
            </w:r>
          </w:p>
        </w:tc>
        <w:tc>
          <w:tcPr>
            <w:tcW w:w="2357" w:type="dxa"/>
            <w:vMerge w:val="restart"/>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Apply rules and regulations to decommissioning operation.</w:t>
            </w: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1.1</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Interpret work instructions to clarify types of gaseous agent containers and actuators to be decommissioned, decommissioning timeframes and site location.</w:t>
            </w:r>
          </w:p>
        </w:tc>
      </w:tr>
      <w:tr w:rsidTr="003B68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1.2</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Discuss planned decommissioning procedures with relevant persons to clarify client needs and expectations.</w:t>
            </w:r>
          </w:p>
        </w:tc>
      </w:tr>
      <w:tr w:rsidTr="003B68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1.3</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 xml:space="preserve">Plan work activities to prevent ODS and SGG emissions and comply with relevant Australian Standards, ODS and SGG regulations, work health and </w:t>
            </w:r>
            <w:r w:rsidRPr="003B6860">
              <w:t>safety (WHS) and workplace requirements.</w:t>
            </w:r>
          </w:p>
        </w:tc>
      </w:tr>
      <w:tr w:rsidTr="003B68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1.4</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Identify potential and actual breaches of rules and regulations associated with work instructions and take required action to ensure compliance according to regulatory and workplace requirements.</w:t>
            </w:r>
          </w:p>
        </w:tc>
      </w:tr>
      <w:tr w:rsidTr="003B686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B6860">
            <w:pPr>
              <w:pStyle w:val="BodyText"/>
              <w:rPr>
                <w:lang w:val="en-NZ"/>
              </w:rPr>
            </w:pPr>
          </w:p>
        </w:tc>
      </w:tr>
      <w:tr w:rsidTr="003B686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2</w:t>
            </w:r>
          </w:p>
        </w:tc>
        <w:tc>
          <w:tcPr>
            <w:tcW w:w="2357" w:type="dxa"/>
            <w:vMerge w:val="restart"/>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Prepare to decommission gaseous agent containers and actuators.</w:t>
            </w: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2.1</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Arrange access to worksite and communicate with responsible entity and affected persons to advise duration and impact of planned decommissioning procedures.</w:t>
            </w:r>
          </w:p>
        </w:tc>
      </w:tr>
      <w:tr w:rsidTr="003B68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2.2</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Identify and control haz</w:t>
            </w:r>
            <w:r w:rsidRPr="003B6860">
              <w:t>ards in the work area according to workplace requirements.</w:t>
            </w:r>
          </w:p>
        </w:tc>
      </w:tr>
      <w:tr w:rsidTr="003B68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2.3</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Select and use required materials, tools and equipment, including personal protective equipment (PPE).</w:t>
            </w:r>
          </w:p>
        </w:tc>
      </w:tr>
      <w:tr w:rsidTr="003B68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2.4</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Discuss and confirm decommissioning guidelines with relevant persons to confirm they meet client, manufacturer, regulatory and workplace requirements.</w:t>
            </w:r>
          </w:p>
        </w:tc>
      </w:tr>
      <w:tr w:rsidTr="003B68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2.5</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 xml:space="preserve">Identify and confirm system components and confirm that safety measures are in place prior to the </w:t>
            </w:r>
            <w:r w:rsidRPr="003B6860">
              <w:t>decommissioning process according to workplace requirements.</w:t>
            </w:r>
          </w:p>
        </w:tc>
      </w:tr>
      <w:tr w:rsidTr="003B68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2.6</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Check to confirm access to the system complies with decommissioning guidelines and provides minimal disruption to the client or property.</w:t>
            </w:r>
          </w:p>
        </w:tc>
      </w:tr>
      <w:tr w:rsidTr="003B686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B6860">
            <w:pPr>
              <w:pStyle w:val="BodyText"/>
              <w:rPr>
                <w:lang w:val="en-NZ"/>
              </w:rPr>
            </w:pPr>
          </w:p>
        </w:tc>
      </w:tr>
      <w:tr w:rsidTr="003B686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3</w:t>
            </w:r>
          </w:p>
        </w:tc>
        <w:tc>
          <w:tcPr>
            <w:tcW w:w="2357" w:type="dxa"/>
            <w:vMerge w:val="restart"/>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Perform decommissioning procedures.</w:t>
            </w: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3.1</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Decommission gaseous agent containers and actuators according to decommissioning guidelines, manufacturer, regulatory, workplace and client requirements.</w:t>
            </w:r>
          </w:p>
        </w:tc>
      </w:tr>
      <w:tr w:rsidTr="003B68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3.2</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 xml:space="preserve">Isolate interfaced actuators and place lock-off devices </w:t>
            </w:r>
            <w:r w:rsidRPr="003B6860">
              <w:t>and required signage according to regul</w:t>
            </w:r>
            <w:r w:rsidRPr="003B6860">
              <w:t>atory and workplace requirements.</w:t>
            </w:r>
          </w:p>
        </w:tc>
      </w:tr>
      <w:tr w:rsidTr="003B68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3.3</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Disconnect manual, electrical and mechanical actuators according to manufacturer requirements.</w:t>
            </w:r>
          </w:p>
        </w:tc>
      </w:tr>
      <w:tr w:rsidTr="003B68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3.4</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Disconnect pneumatic actuators, pilot and slave tubes and fittings according to manufacturer requirements.</w:t>
            </w:r>
          </w:p>
        </w:tc>
      </w:tr>
      <w:tr w:rsidTr="003B68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3.5</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Fit transport caps, plugs and locking devices on discharge outlets and actuator ports according to regulatory requirements.</w:t>
            </w:r>
          </w:p>
        </w:tc>
      </w:tr>
      <w:tr w:rsidTr="003B68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3.6</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Disconnect container manifold connection components according to manufacturer requirements.</w:t>
            </w:r>
          </w:p>
        </w:tc>
      </w:tr>
      <w:tr w:rsidTr="003B68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3.7</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Connect transport caps on valve outlets according to regulatory requirements.</w:t>
            </w:r>
          </w:p>
        </w:tc>
      </w:tr>
      <w:tr w:rsidTr="003B686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B6860">
            <w:pPr>
              <w:pStyle w:val="BodyText"/>
              <w:rPr>
                <w:lang w:val="en-NZ"/>
              </w:rPr>
            </w:pPr>
          </w:p>
        </w:tc>
      </w:tr>
      <w:tr w:rsidTr="003B686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4</w:t>
            </w:r>
          </w:p>
        </w:tc>
        <w:tc>
          <w:tcPr>
            <w:tcW w:w="2357" w:type="dxa"/>
            <w:vMerge w:val="restart"/>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Finalise decommissioning operation.</w:t>
            </w: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4.1</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Organise removal and transportation of gaseous agent containers to storage or reclaim facility according to regulatory and workpla</w:t>
            </w:r>
            <w:r w:rsidRPr="003B6860">
              <w:t>ce requirements.</w:t>
            </w:r>
          </w:p>
        </w:tc>
      </w:tr>
      <w:tr w:rsidTr="003B68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4.2</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Complete documentation and decommissioning sign-off with relevant persons according to regulatory and workplace requirements.</w:t>
            </w:r>
          </w:p>
        </w:tc>
      </w:tr>
      <w:tr w:rsidTr="003B68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4.3</w:t>
            </w:r>
          </w:p>
        </w:tc>
        <w:tc>
          <w:tcPr>
            <w:tcW w:w="5659"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Check tools and equipment for faults, wear or damage and rectify or report problems according to workplace requirements.</w:t>
            </w:r>
          </w:p>
        </w:tc>
      </w:tr>
      <w:tr w:rsidTr="003B686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4.4</w:t>
            </w:r>
          </w:p>
        </w:tc>
        <w:tc>
          <w:tcPr>
            <w:tcW w:w="5659" w:type="dxa"/>
            <w:tcBorders>
              <w:top w:val="nil"/>
              <w:left w:val="nil"/>
              <w:bottom w:val="nil"/>
              <w:right w:val="nil"/>
            </w:tcBorders>
            <w:tcMar>
              <w:top w:w="0" w:type="dxa"/>
              <w:left w:w="62" w:type="dxa"/>
              <w:bottom w:w="0" w:type="dxa"/>
              <w:right w:w="62" w:type="dxa"/>
            </w:tcMar>
          </w:tcPr>
          <w:p w:rsidR="00000000" w:rsidRPr="003B6860" w:rsidP="003B6860">
            <w:pPr>
              <w:pStyle w:val="BodyText"/>
            </w:pPr>
            <w:r w:rsidRPr="003B6860">
              <w:t>Leave client premises in a clean and tidy condition.</w:t>
            </w:r>
          </w:p>
        </w:tc>
      </w:tr>
    </w:tbl>
    <w:p w:rsidR="00000000" w:rsidRPr="003B6860" w:rsidP="003B6860">
      <w:pPr>
        <w:pStyle w:val="BodyText"/>
      </w:pPr>
    </w:p>
    <w:p w:rsidR="00000000" w:rsidRPr="003B6860" w:rsidP="003B6860">
      <w:pPr>
        <w:pStyle w:val="AllowPageBreak"/>
      </w:pPr>
    </w:p>
    <w:p w:rsidR="00000000" w:rsidRPr="003B6860" w:rsidP="003B6860">
      <w:pPr>
        <w:pStyle w:val="Heading1"/>
      </w:pPr>
      <w:bookmarkStart w:id="6" w:name="O_1163797"/>
      <w:bookmarkEnd w:id="6"/>
      <w:r w:rsidRPr="003B6860">
        <w:t>Foundation Skills</w:t>
      </w:r>
    </w:p>
    <w:p w:rsidR="00000000" w:rsidRPr="003B6860" w:rsidP="00C472FC">
      <w:pPr>
        <w:pStyle w:val="BodyText"/>
      </w:pPr>
      <w:r w:rsidRPr="003B6860">
        <w:t>Foundation skills essential to performance are explicit in the performance criteria of this unit of competency.</w:t>
      </w:r>
    </w:p>
    <w:p w:rsidR="00000000" w:rsidRPr="003B6860" w:rsidP="003B6860">
      <w:pPr>
        <w:pStyle w:val="Heading1"/>
      </w:pPr>
      <w:bookmarkStart w:id="7" w:name="O_1163796"/>
      <w:bookmarkEnd w:id="7"/>
      <w:r w:rsidRPr="003B6860">
        <w:t>Unit Mapping Information</w:t>
      </w:r>
    </w:p>
    <w:p w:rsidR="00000000" w:rsidRPr="003B6860" w:rsidP="00C472FC">
      <w:pPr>
        <w:pStyle w:val="BodyText"/>
      </w:pPr>
      <w:r w:rsidRPr="003B6860">
        <w:t>Supersedes and is equivalent to CPPFES3046A Decommission gaseous agent containers and actuators.</w:t>
      </w:r>
    </w:p>
    <w:p w:rsidR="00000000" w:rsidRPr="003B6860" w:rsidP="003B6860">
      <w:pPr>
        <w:pStyle w:val="Heading1"/>
      </w:pPr>
      <w:bookmarkStart w:id="8" w:name="O_1163789"/>
      <w:bookmarkEnd w:id="8"/>
      <w:r w:rsidRPr="003B6860">
        <w:t>Links</w:t>
      </w:r>
    </w:p>
    <w:p w:rsidR="00000000" w:rsidRPr="003B6860" w:rsidP="00C472FC">
      <w:pPr>
        <w:pStyle w:val="BodyText"/>
      </w:pPr>
      <w:r w:rsidRPr="003B686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0482F">
        <w:rPr>
          <w:rStyle w:val="Hyperlink"/>
        </w:rPr>
        <w:t>https://vetnet.gov.au/Pages/TrainingDocs.aspx?q=6f3f9672-30e8-4835-b348-205dfcf13d9b</w:t>
      </w:r>
      <w:r>
        <w:fldChar w:fldCharType="end"/>
      </w:r>
    </w:p>
    <w:p w:rsidR="00000000" w:rsidRPr="003B6860" w:rsidP="00C472FC">
      <w:pPr>
        <w:pStyle w:val="BodyText"/>
        <w:sectPr w:rsidSect="003B6860">
          <w:headerReference w:type="default" r:id="rId10"/>
          <w:footerReference w:type="default" r:id="rId11"/>
          <w:pgSz w:w="11908" w:h="16833"/>
          <w:pgMar w:top="1702" w:right="1418" w:bottom="1702" w:left="1418" w:header="992" w:footer="992" w:gutter="0"/>
          <w:cols w:space="720"/>
          <w:noEndnote/>
          <w:docGrid w:linePitch="299"/>
        </w:sectPr>
      </w:pPr>
    </w:p>
    <w:p w:rsidR="00000000" w:rsidRPr="003B6860" w:rsidP="003B6860">
      <w:pPr>
        <w:pStyle w:val="SuperHeading"/>
      </w:pPr>
      <w:r w:rsidRPr="003B6860">
        <w:t>Assessment Requiremen</w:t>
      </w:r>
      <w:r w:rsidRPr="003B6860">
        <w:t>ts for CPPFES3046 Decommission gaseous agent containers and actuators</w:t>
      </w:r>
    </w:p>
    <w:p w:rsidR="00000000" w:rsidRPr="003B6860" w:rsidP="003B6860">
      <w:pPr>
        <w:pStyle w:val="Heading1"/>
      </w:pPr>
      <w:bookmarkStart w:id="9" w:name="O_1163791"/>
      <w:bookmarkEnd w:id="9"/>
      <w:r w:rsidRPr="003B6860">
        <w:t>Modification History</w:t>
      </w:r>
    </w:p>
    <w:tbl>
      <w:tblPr>
        <w:tblW w:w="0" w:type="auto"/>
        <w:tblLayout w:type="fixed"/>
        <w:tblCellMar>
          <w:left w:w="62" w:type="dxa"/>
          <w:right w:w="62" w:type="dxa"/>
        </w:tblCellMar>
        <w:tblLook w:val="0000"/>
      </w:tblPr>
      <w:tblGrid>
        <w:gridCol w:w="1305"/>
        <w:gridCol w:w="7597"/>
      </w:tblGrid>
      <w:tr w:rsidTr="003B6860">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3B6860">
            <w:pPr>
              <w:pStyle w:val="BodyText"/>
              <w:rPr>
                <w:lang w:val="en-NZ"/>
              </w:rPr>
            </w:pPr>
            <w:r w:rsidRPr="003B6860">
              <w:t>Release 1</w:t>
            </w:r>
          </w:p>
        </w:tc>
        <w:tc>
          <w:tcPr>
            <w:tcW w:w="7597" w:type="dxa"/>
            <w:tcBorders>
              <w:top w:val="nil"/>
              <w:left w:val="nil"/>
              <w:bottom w:val="nil"/>
              <w:right w:val="nil"/>
            </w:tcBorders>
            <w:tcMar>
              <w:top w:w="0" w:type="dxa"/>
              <w:left w:w="62" w:type="dxa"/>
              <w:bottom w:w="0" w:type="dxa"/>
              <w:right w:w="62" w:type="dxa"/>
            </w:tcMar>
          </w:tcPr>
          <w:p w:rsidR="00000000" w:rsidRPr="003B6860" w:rsidP="003B6860">
            <w:pPr>
              <w:pStyle w:val="BodyText"/>
            </w:pPr>
            <w:r w:rsidRPr="003B6860">
              <w:t>This version first released with CPP Property Services Training Package Release 13.0.</w:t>
            </w:r>
          </w:p>
          <w:p w:rsidR="00000000" w:rsidRPr="003B6860" w:rsidP="003B6860">
            <w:pPr>
              <w:pStyle w:val="BodyText"/>
            </w:pPr>
            <w:r w:rsidRPr="003B6860">
              <w:t>Supersedes and is equivalent to CPPFES3046A Decommi</w:t>
            </w:r>
            <w:r w:rsidRPr="003B6860">
              <w:t>ssion gaseous agent containers and actuators.  Unit updated to meet the Standards for Training Packages 2012.</w:t>
            </w:r>
          </w:p>
        </w:tc>
      </w:tr>
    </w:tbl>
    <w:p w:rsidR="00000000" w:rsidRPr="003B6860" w:rsidP="003B6860">
      <w:pPr>
        <w:pStyle w:val="BodyText"/>
      </w:pPr>
    </w:p>
    <w:p w:rsidR="00000000" w:rsidRPr="003B6860" w:rsidP="003B6860">
      <w:pPr>
        <w:pStyle w:val="AllowPageBreak"/>
      </w:pPr>
    </w:p>
    <w:p w:rsidR="00000000" w:rsidRPr="003B6860" w:rsidP="003B6860">
      <w:pPr>
        <w:pStyle w:val="Heading1"/>
      </w:pPr>
      <w:bookmarkStart w:id="10" w:name="O_1163794"/>
      <w:bookmarkEnd w:id="10"/>
      <w:r w:rsidRPr="003B6860">
        <w:t>Performance Evidence</w:t>
      </w:r>
    </w:p>
    <w:p w:rsidR="00000000" w:rsidRPr="003B6860" w:rsidP="00C472FC">
      <w:pPr>
        <w:pStyle w:val="BodyText"/>
      </w:pPr>
      <w:r w:rsidRPr="003B6860">
        <w:t>To demonstrate competency, a candidate must meet the elements and performance criteria of this unit by decommissioning gaseous agent containers and actuators in two different settings.</w:t>
      </w:r>
    </w:p>
    <w:p w:rsidR="00000000" w:rsidRPr="003B6860" w:rsidP="003B6860">
      <w:pPr>
        <w:pStyle w:val="Heading1"/>
      </w:pPr>
      <w:bookmarkStart w:id="11" w:name="O_1163793"/>
      <w:bookmarkEnd w:id="11"/>
      <w:r w:rsidRPr="003B6860">
        <w:t>Knowledge Evidence</w:t>
      </w:r>
    </w:p>
    <w:p w:rsidR="00000000" w:rsidRPr="003B6860" w:rsidP="00C472FC">
      <w:pPr>
        <w:pStyle w:val="BodyText"/>
      </w:pPr>
      <w:r w:rsidRPr="003B6860">
        <w:t>To be competent in this unit, a c</w:t>
      </w:r>
      <w:r w:rsidRPr="003B6860">
        <w:t>andidate must demonstrate knowledge of:</w:t>
      </w:r>
    </w:p>
    <w:p w:rsidR="00000000" w:rsidRPr="003B6860" w:rsidP="003B6860">
      <w:pPr>
        <w:pStyle w:val="ListBullet"/>
      </w:pPr>
      <w:r w:rsidRPr="003B6860">
        <w:t>action to take when a breach of work health and safety (WHS), ozone depleting substances (ODS) and synthetic greenhouse gases (SGG) regulation or other policy occurs when decommissioning gaseous agent containers and</w:t>
      </w:r>
      <w:r w:rsidRPr="003B6860">
        <w:t xml:space="preserve"> actuators</w:t>
      </w:r>
    </w:p>
    <w:p w:rsidR="00000000" w:rsidRPr="003B6860" w:rsidP="003B6860">
      <w:pPr>
        <w:pStyle w:val="ListBullet"/>
      </w:pPr>
      <w:r w:rsidRPr="003B6860">
        <w:t>implications of not complying with regulatory requirements when decommissioning gaseous agent containers and actuators</w:t>
      </w:r>
    </w:p>
    <w:p w:rsidR="00000000" w:rsidRPr="003B6860" w:rsidP="003B6860">
      <w:pPr>
        <w:pStyle w:val="ListBullet"/>
      </w:pPr>
      <w:r w:rsidRPr="003B6860">
        <w:t xml:space="preserve">key features of legislation, regulations, codes and Australian Standards relevant to decommissioning gaseous agent containers </w:t>
      </w:r>
      <w:r w:rsidRPr="003B6860">
        <w:t>and actuators:</w:t>
      </w:r>
    </w:p>
    <w:p w:rsidR="00000000" w:rsidRPr="003B6860" w:rsidP="003B6860">
      <w:pPr>
        <w:pStyle w:val="ListBullet2"/>
      </w:pPr>
      <w:r w:rsidRPr="003B6860">
        <w:t xml:space="preserve">dangerous goods markings and requirements for securing and transporting scheduled gaseous fire-extinguishing agents by road </w:t>
      </w:r>
    </w:p>
    <w:p w:rsidR="00000000" w:rsidRPr="003B6860" w:rsidP="003B6860">
      <w:pPr>
        <w:pStyle w:val="ListBullet2"/>
      </w:pPr>
      <w:r w:rsidRPr="003B6860">
        <w:t>environmental protection</w:t>
      </w:r>
    </w:p>
    <w:p w:rsidR="00000000" w:rsidRPr="003B6860" w:rsidP="003B6860">
      <w:pPr>
        <w:pStyle w:val="ListBullet2"/>
      </w:pPr>
      <w:r w:rsidRPr="003B6860">
        <w:t>extinguishing agent handling licence (EAHL) requirements</w:t>
      </w:r>
    </w:p>
    <w:p w:rsidR="00000000" w:rsidRPr="003B6860" w:rsidP="003B6860">
      <w:pPr>
        <w:pStyle w:val="ListBullet2"/>
      </w:pPr>
      <w:r w:rsidRPr="003B6860">
        <w:t>intent of the Australian Standard for the maintenance of fire protection systems and equipment in relation to the decommissioning of gaseous agent containers and actuators</w:t>
      </w:r>
    </w:p>
    <w:p w:rsidR="00000000" w:rsidRPr="003B6860" w:rsidP="003B6860">
      <w:pPr>
        <w:pStyle w:val="ListBullet2"/>
      </w:pPr>
      <w:r w:rsidRPr="003B6860">
        <w:t>records and documentation</w:t>
      </w:r>
    </w:p>
    <w:p w:rsidR="00000000" w:rsidRPr="003B6860" w:rsidP="003B6860">
      <w:pPr>
        <w:pStyle w:val="ListBullet"/>
      </w:pPr>
      <w:r w:rsidRPr="003B6860">
        <w:t>methods and reasons for preventing ODS and SGG emissions</w:t>
      </w:r>
    </w:p>
    <w:p w:rsidR="00000000" w:rsidRPr="003B6860" w:rsidP="003B6860">
      <w:pPr>
        <w:pStyle w:val="ListBullet"/>
      </w:pPr>
      <w:r w:rsidRPr="003B6860">
        <w:t>methods for decommissioning gaseous agent containers and actuators</w:t>
      </w:r>
    </w:p>
    <w:p w:rsidR="00000000" w:rsidRPr="003B6860" w:rsidP="003B6860">
      <w:pPr>
        <w:pStyle w:val="ListBullet"/>
      </w:pPr>
      <w:r w:rsidRPr="003B6860">
        <w:t>methods for isolating interfaced actuators</w:t>
      </w:r>
    </w:p>
    <w:p w:rsidR="00000000" w:rsidRPr="003B6860" w:rsidP="003B6860">
      <w:pPr>
        <w:pStyle w:val="ListBullet"/>
      </w:pPr>
      <w:r w:rsidRPr="003B6860">
        <w:t>operating principles of actuators, activating mechanisms, discharge valve assembly and manifold connection components</w:t>
      </w:r>
    </w:p>
    <w:p w:rsidR="00000000" w:rsidRPr="003B6860" w:rsidP="003B6860">
      <w:pPr>
        <w:pStyle w:val="ListBullet"/>
      </w:pPr>
      <w:r w:rsidRPr="003B6860">
        <w:t>purpose of auxiliary shutdow</w:t>
      </w:r>
      <w:r w:rsidRPr="003B6860">
        <w:t>n fire system and equipment</w:t>
      </w:r>
    </w:p>
    <w:p w:rsidR="00000000" w:rsidRPr="003B6860" w:rsidP="003B6860">
      <w:pPr>
        <w:pStyle w:val="ListBullet"/>
      </w:pPr>
      <w:r w:rsidRPr="003B6860">
        <w:t>purpose of safety devices and transport caps</w:t>
      </w:r>
    </w:p>
    <w:p w:rsidR="00000000" w:rsidRPr="003B6860" w:rsidP="003B6860">
      <w:pPr>
        <w:pStyle w:val="ListBullet"/>
      </w:pPr>
      <w:r w:rsidRPr="003B6860">
        <w:t>types and purpose of electrical safeguards used to protect persons and property when decommissioning gaseous agent containers and actuators</w:t>
      </w:r>
    </w:p>
    <w:p w:rsidR="00000000" w:rsidRPr="003B6860" w:rsidP="003B6860">
      <w:pPr>
        <w:pStyle w:val="ListBullet"/>
      </w:pPr>
      <w:r w:rsidRPr="003B6860">
        <w:t>types and purpose of tools, equipment and m</w:t>
      </w:r>
      <w:r w:rsidRPr="003B6860">
        <w:t>aterials used when decommissioning gaseous agent containers and actuators</w:t>
      </w:r>
    </w:p>
    <w:p w:rsidR="00000000" w:rsidRPr="003B6860" w:rsidP="003B6860">
      <w:pPr>
        <w:pStyle w:val="ListBullet"/>
      </w:pPr>
      <w:r w:rsidRPr="003B6860">
        <w:t>workplace requirements for decommissioning gaseous agent containers and actuators:</w:t>
      </w:r>
    </w:p>
    <w:p w:rsidR="00000000" w:rsidRPr="003B6860" w:rsidP="003B6860">
      <w:pPr>
        <w:pStyle w:val="ListBullet2"/>
      </w:pPr>
      <w:r w:rsidRPr="003B6860">
        <w:t>maintenance of tools and equipment</w:t>
      </w:r>
    </w:p>
    <w:p w:rsidR="00000000" w:rsidRPr="003B6860" w:rsidP="003B6860">
      <w:pPr>
        <w:pStyle w:val="ListBullet2"/>
      </w:pPr>
      <w:r w:rsidRPr="003B6860">
        <w:t>WHS, including hazard and risk identification and control.</w:t>
      </w:r>
    </w:p>
    <w:p w:rsidR="00000000" w:rsidRPr="003B6860" w:rsidP="003B6860">
      <w:pPr>
        <w:pStyle w:val="AllowPageBreak"/>
      </w:pPr>
    </w:p>
    <w:p w:rsidR="00000000" w:rsidRPr="003B6860" w:rsidP="003B6860">
      <w:pPr>
        <w:pStyle w:val="Heading1"/>
      </w:pPr>
      <w:bookmarkStart w:id="12" w:name="O_1163792"/>
      <w:bookmarkEnd w:id="12"/>
      <w:r w:rsidRPr="003B6860">
        <w:t>Assessment Conditions</w:t>
      </w:r>
    </w:p>
    <w:p w:rsidR="00000000" w:rsidRPr="003B6860" w:rsidP="00C472FC">
      <w:pPr>
        <w:pStyle w:val="BodyText"/>
      </w:pPr>
      <w:r w:rsidRPr="003B6860">
        <w:t xml:space="preserve">Assessors must meet the requirements for assessors contained in the Standards for Registered Training Organisations. </w:t>
      </w:r>
    </w:p>
    <w:p w:rsidR="00000000" w:rsidRPr="003B6860" w:rsidP="00C472FC">
      <w:pPr>
        <w:pStyle w:val="BodyText"/>
      </w:pPr>
      <w:r w:rsidRPr="003B6860">
        <w:t>Assessment must be conducted in the workplace or a simulated workplace using realistic conditions,</w:t>
      </w:r>
      <w:r w:rsidRPr="003B6860">
        <w:t xml:space="preserve"> materials, activities, responsibilities, procedures, safety requirements and environmental considerations.</w:t>
      </w:r>
    </w:p>
    <w:p w:rsidR="00000000" w:rsidRPr="003B6860" w:rsidP="00C472FC">
      <w:pPr>
        <w:pStyle w:val="BodyText"/>
      </w:pPr>
      <w:r w:rsidRPr="003B6860">
        <w:t xml:space="preserve">Candidates must have access to decommissioning guidelines and documentation, materials, tools, equipment and installed gaseous agent containers and </w:t>
      </w:r>
      <w:r w:rsidRPr="003B6860">
        <w:t>actuators required to achieve the performance evidence.</w:t>
      </w:r>
    </w:p>
    <w:p w:rsidR="00000000" w:rsidRPr="003B6860" w:rsidP="003B6860">
      <w:pPr>
        <w:pStyle w:val="Heading1"/>
      </w:pPr>
      <w:bookmarkStart w:id="13" w:name="O_1163790"/>
      <w:bookmarkEnd w:id="13"/>
      <w:r w:rsidRPr="003B6860">
        <w:t>Links</w:t>
      </w:r>
    </w:p>
    <w:p w:rsidR="00000000" w:rsidRPr="003B6860" w:rsidP="00C472FC">
      <w:pPr>
        <w:pStyle w:val="BodyText"/>
      </w:pPr>
      <w:r w:rsidRPr="003B686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0482F">
        <w:rPr>
          <w:rStyle w:val="Hyperlink"/>
        </w:rPr>
        <w:t>https://vetnet.gov.au/Pages/TrainingDocs.aspx?q=6f3f9672-30e8-4835-b348-205dfcf13d9b</w:t>
      </w:r>
      <w:r>
        <w:fldChar w:fldCharType="end"/>
      </w:r>
    </w:p>
    <w:p w:rsidR="00000000" w:rsidRPr="003B6860" w:rsidP="003B6860"/>
    <w:sectPr w:rsidSect="003B68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8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860" w:rsidRPr="00C472FC" w:rsidP="00C472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8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2FC" w:rsidP="003B68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72FC" w:rsidP="003B68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472FC" w:rsidP="003B68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860" w:rsidP="003B6860">
    <w:pPr>
      <w:pStyle w:val="Footer"/>
      <w:framePr w:wrap="around"/>
    </w:pPr>
    <w:r>
      <w:fldChar w:fldCharType="begin"/>
    </w:r>
    <w:r>
      <w:instrText xml:space="preserve"> DOCPROPERTY  Subject  \* MERGEFORMAT </w:instrText>
    </w:r>
    <w:r>
      <w:fldChar w:fldCharType="separate"/>
    </w:r>
    <w:r w:rsidR="00C472FC">
      <w:t>Approved</w:t>
    </w:r>
    <w:r w:rsidR="00C472FC">
      <w:fldChar w:fldCharType="end"/>
    </w:r>
    <w:r>
      <w:tab/>
      <w:t xml:space="preserve">Page </w:t>
    </w:r>
    <w:r>
      <w:fldChar w:fldCharType="begin"/>
    </w:r>
    <w:r>
      <w:instrText xml:space="preserve"> PAGE  \* Arabic  \* MERGEFORMAT </w:instrText>
    </w:r>
    <w:r>
      <w:fldChar w:fldCharType="separate"/>
    </w:r>
    <w:r w:rsidR="00C472F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72FC">
      <w:rPr>
        <w:noProof/>
      </w:rPr>
      <w:t>4</w:t>
    </w:r>
    <w:r>
      <w:rPr>
        <w:noProof/>
      </w:rPr>
      <w:fldChar w:fldCharType="end"/>
    </w:r>
  </w:p>
  <w:p w:rsidR="003B6860" w:rsidP="003B6860">
    <w:pPr>
      <w:pStyle w:val="Footer"/>
      <w:framePr w:wrap="around"/>
    </w:pPr>
    <w:r>
      <w:t xml:space="preserve">© Commonwealth of Australia, </w:t>
    </w:r>
    <w:r>
      <w:fldChar w:fldCharType="begin"/>
    </w:r>
    <w:r>
      <w:instrText xml:space="preserve"> DATE  \@ "yyyy"  \* MERGEFORMAT </w:instrText>
    </w:r>
    <w:r>
      <w:fldChar w:fldCharType="separate"/>
    </w:r>
    <w:r w:rsidR="00C472FC">
      <w:rPr>
        <w:noProof/>
      </w:rPr>
      <w:t>2025</w:t>
    </w:r>
    <w:r>
      <w:fldChar w:fldCharType="end"/>
    </w:r>
    <w:r>
      <w:tab/>
    </w:r>
    <w:r>
      <w:fldChar w:fldCharType="begin"/>
    </w:r>
    <w:r>
      <w:instrText xml:space="preserve"> DOCPROPERTY  Author  \* MERGEFORMAT </w:instrText>
    </w:r>
    <w:r>
      <w:fldChar w:fldCharType="separate"/>
    </w:r>
    <w:r w:rsidR="00C472FC">
      <w:t>BuildSkills Australia</w:t>
    </w:r>
    <w:r w:rsidR="00C472FC">
      <w:fldChar w:fldCharType="end"/>
    </w:r>
  </w:p>
  <w:p w:rsidR="003B6860" w:rsidP="003B68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8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2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6860" w:rsidRPr="00C472FC" w:rsidP="00C472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8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2FC" w:rsidRPr="002D2AF8" w:rsidP="003B6860">
    <w:pPr>
      <w:pStyle w:val="Header"/>
      <w:framePr w:wrap="around"/>
    </w:pPr>
    <w:r>
      <w:fldChar w:fldCharType="begin"/>
    </w:r>
    <w:r>
      <w:instrText xml:space="preserve"> TITLE   \* MERGEFORMAT </w:instrText>
    </w:r>
    <w:r>
      <w:fldChar w:fldCharType="separate"/>
    </w:r>
    <w:r>
      <w:t>CPPFES3046 Decommission gaseous agent containers and actuators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472FC" w:rsidP="003B68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860" w:rsidRPr="002D2AF8" w:rsidP="003B6860">
    <w:pPr>
      <w:pStyle w:val="Header"/>
      <w:framePr w:wrap="around"/>
    </w:pPr>
    <w:r>
      <w:fldChar w:fldCharType="begin"/>
    </w:r>
    <w:r>
      <w:instrText xml:space="preserve"> TITLE   \* MERGEFORMAT </w:instrText>
    </w:r>
    <w:r>
      <w:fldChar w:fldCharType="separate"/>
    </w:r>
    <w:r w:rsidR="00C472FC">
      <w:t>CPPFES3046 Decommission gaseous agent containers and actuators</w:t>
    </w:r>
    <w:r w:rsidR="00C472FC">
      <w:fldChar w:fldCharType="end"/>
    </w:r>
    <w:r>
      <w:tab/>
      <w:t xml:space="preserve">Date this document was generated: </w:t>
    </w:r>
    <w:r>
      <w:fldChar w:fldCharType="begin"/>
    </w:r>
    <w:r>
      <w:instrText xml:space="preserve"> CREATEDATE  \@ "d MMMM yyyy"  \* MERGEFORMAT </w:instrText>
    </w:r>
    <w:r>
      <w:fldChar w:fldCharType="separate"/>
    </w:r>
    <w:r w:rsidR="00C472FC">
      <w:rPr>
        <w:noProof/>
      </w:rPr>
      <w:t>1 March 2025</w:t>
    </w:r>
    <w:r>
      <w:fldChar w:fldCharType="end"/>
    </w:r>
  </w:p>
  <w:p w:rsidR="003B6860" w:rsidP="003B68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888C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102B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9CDA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8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6860"/>
    <w:pPr>
      <w:spacing w:before="360" w:after="60"/>
      <w:outlineLvl w:val="0"/>
    </w:pPr>
    <w:rPr>
      <w:sz w:val="32"/>
    </w:rPr>
  </w:style>
  <w:style w:type="paragraph" w:styleId="Heading2">
    <w:name w:val="heading 2"/>
    <w:basedOn w:val="HeadingBase"/>
    <w:next w:val="BodyText"/>
    <w:link w:val="Heading2Char"/>
    <w:qFormat/>
    <w:rsid w:val="003B6860"/>
    <w:pPr>
      <w:keepLines/>
      <w:spacing w:before="240" w:after="120"/>
      <w:outlineLvl w:val="1"/>
    </w:pPr>
    <w:rPr>
      <w:sz w:val="28"/>
      <w:szCs w:val="40"/>
    </w:rPr>
  </w:style>
  <w:style w:type="paragraph" w:styleId="Heading3">
    <w:name w:val="heading 3"/>
    <w:basedOn w:val="HeadingBase"/>
    <w:next w:val="BodyText"/>
    <w:link w:val="Heading3Char"/>
    <w:qFormat/>
    <w:rsid w:val="003B6860"/>
    <w:pPr>
      <w:spacing w:before="180" w:after="120"/>
      <w:outlineLvl w:val="2"/>
    </w:pPr>
    <w:rPr>
      <w:spacing w:val="-10"/>
      <w:kern w:val="32"/>
    </w:rPr>
  </w:style>
  <w:style w:type="paragraph" w:styleId="Heading4">
    <w:name w:val="heading 4"/>
    <w:basedOn w:val="HeadingBase"/>
    <w:next w:val="BodyText"/>
    <w:link w:val="Heading4Char"/>
    <w:qFormat/>
    <w:rsid w:val="003B6860"/>
    <w:pPr>
      <w:spacing w:before="160" w:after="120"/>
      <w:outlineLvl w:val="3"/>
    </w:pPr>
    <w:rPr>
      <w:sz w:val="22"/>
    </w:rPr>
  </w:style>
  <w:style w:type="paragraph" w:styleId="Heading5">
    <w:name w:val="heading 5"/>
    <w:basedOn w:val="HeadingBase"/>
    <w:next w:val="Normal"/>
    <w:link w:val="Heading5Char"/>
    <w:qFormat/>
    <w:rsid w:val="003B6860"/>
    <w:pPr>
      <w:spacing w:before="80"/>
      <w:outlineLvl w:val="4"/>
    </w:pPr>
    <w:rPr>
      <w:color w:val="918585"/>
      <w:sz w:val="20"/>
    </w:rPr>
  </w:style>
  <w:style w:type="paragraph" w:styleId="Heading6">
    <w:name w:val="heading 6"/>
    <w:basedOn w:val="HeadingBase"/>
    <w:next w:val="Normal"/>
    <w:link w:val="Heading6Char"/>
    <w:qFormat/>
    <w:rsid w:val="003B6860"/>
    <w:pPr>
      <w:spacing w:before="60"/>
      <w:outlineLvl w:val="5"/>
    </w:pPr>
    <w:rPr>
      <w:color w:val="918585"/>
      <w:sz w:val="20"/>
    </w:rPr>
  </w:style>
  <w:style w:type="paragraph" w:styleId="Heading7">
    <w:name w:val="heading 7"/>
    <w:basedOn w:val="Normal"/>
    <w:next w:val="Normal"/>
    <w:link w:val="Heading7Char"/>
    <w:qFormat/>
    <w:rsid w:val="003B6860"/>
    <w:pPr>
      <w:ind w:left="720"/>
      <w:outlineLvl w:val="6"/>
    </w:pPr>
    <w:rPr>
      <w:i/>
    </w:rPr>
  </w:style>
  <w:style w:type="paragraph" w:styleId="Heading8">
    <w:name w:val="heading 8"/>
    <w:basedOn w:val="Normal"/>
    <w:next w:val="Normal"/>
    <w:link w:val="Heading8Char"/>
    <w:qFormat/>
    <w:rsid w:val="003B6860"/>
    <w:pPr>
      <w:ind w:left="720"/>
      <w:outlineLvl w:val="7"/>
    </w:pPr>
    <w:rPr>
      <w:i/>
    </w:rPr>
  </w:style>
  <w:style w:type="paragraph" w:styleId="Heading9">
    <w:name w:val="heading 9"/>
    <w:basedOn w:val="Normal"/>
    <w:next w:val="Normal"/>
    <w:link w:val="Heading9Char"/>
    <w:qFormat/>
    <w:rsid w:val="003B6860"/>
    <w:pPr>
      <w:ind w:left="720"/>
      <w:outlineLvl w:val="8"/>
    </w:pPr>
    <w:rPr>
      <w:i/>
    </w:rPr>
  </w:style>
  <w:style w:type="character" w:default="1" w:styleId="DefaultParagraphFont">
    <w:name w:val="Default Paragraph Font"/>
    <w:uiPriority w:val="1"/>
    <w:unhideWhenUsed/>
    <w:rsid w:val="003B68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6860"/>
  </w:style>
  <w:style w:type="character" w:customStyle="1" w:styleId="Heading1Char">
    <w:name w:val="Heading 1 Char"/>
    <w:basedOn w:val="DefaultParagraphFont"/>
    <w:link w:val="Heading1"/>
    <w:rsid w:val="003B6860"/>
    <w:rPr>
      <w:rFonts w:ascii="Times New Roman" w:eastAsia="Times New Roman" w:hAnsi="Times New Roman" w:cs="Times New Roman"/>
      <w:b/>
      <w:sz w:val="32"/>
      <w:szCs w:val="20"/>
      <w:lang w:eastAsia="en-US"/>
    </w:rPr>
  </w:style>
  <w:style w:type="paragraph" w:styleId="BodyText">
    <w:name w:val="Body Text"/>
    <w:basedOn w:val="Normal"/>
    <w:link w:val="BodyTextChar"/>
    <w:rsid w:val="003B68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6860"/>
    <w:rPr>
      <w:rFonts w:ascii="Times New Roman" w:eastAsia="Times New Roman" w:hAnsi="Times New Roman" w:cs="Times New Roman"/>
      <w:sz w:val="24"/>
      <w:lang w:eastAsia="en-US"/>
    </w:rPr>
  </w:style>
  <w:style w:type="paragraph" w:styleId="ListBullet">
    <w:name w:val="List Bullet"/>
    <w:basedOn w:val="List"/>
    <w:rsid w:val="003B6860"/>
    <w:pPr>
      <w:numPr>
        <w:numId w:val="12"/>
      </w:numPr>
      <w:tabs>
        <w:tab w:val="clear" w:pos="340"/>
      </w:tabs>
      <w:spacing w:before="40" w:after="40"/>
    </w:pPr>
  </w:style>
  <w:style w:type="paragraph" w:styleId="ListBullet2">
    <w:name w:val="List Bullet 2"/>
    <w:basedOn w:val="List2"/>
    <w:rsid w:val="003B6860"/>
    <w:pPr>
      <w:numPr>
        <w:numId w:val="13"/>
      </w:numPr>
      <w:tabs>
        <w:tab w:val="clear" w:pos="680"/>
      </w:tabs>
    </w:pPr>
  </w:style>
  <w:style w:type="paragraph" w:customStyle="1" w:styleId="SuperHeading">
    <w:name w:val="SuperHeading"/>
    <w:basedOn w:val="Normal"/>
    <w:rsid w:val="003B6860"/>
    <w:pPr>
      <w:spacing w:before="240" w:after="120"/>
      <w:outlineLvl w:val="0"/>
    </w:pPr>
    <w:rPr>
      <w:rFonts w:ascii="Times New Roman" w:hAnsi="Times New Roman"/>
      <w:b/>
      <w:sz w:val="32"/>
    </w:rPr>
  </w:style>
  <w:style w:type="paragraph" w:customStyle="1" w:styleId="AllowPageBreak">
    <w:name w:val="AllowPageBreak"/>
    <w:rsid w:val="003B68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68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68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68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68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68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68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68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6860"/>
    <w:rPr>
      <w:rFonts w:ascii="Courier New" w:eastAsia="Times New Roman" w:hAnsi="Courier New" w:cs="Times New Roman"/>
      <w:i/>
      <w:szCs w:val="20"/>
      <w:lang w:eastAsia="en-US"/>
    </w:rPr>
  </w:style>
  <w:style w:type="paragraph" w:customStyle="1" w:styleId="HeadingBase">
    <w:name w:val="Heading Base"/>
    <w:rsid w:val="003B68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6860"/>
    <w:pPr>
      <w:tabs>
        <w:tab w:val="right" w:leader="dot" w:pos="9072"/>
      </w:tabs>
      <w:ind w:left="567"/>
    </w:pPr>
    <w:rPr>
      <w:szCs w:val="22"/>
    </w:rPr>
  </w:style>
  <w:style w:type="paragraph" w:customStyle="1" w:styleId="TOCBase">
    <w:name w:val="TOC Base"/>
    <w:rsid w:val="003B68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6860"/>
    <w:pPr>
      <w:tabs>
        <w:tab w:val="right" w:leader="dot" w:pos="9072"/>
      </w:tabs>
      <w:spacing w:before="40" w:after="40"/>
      <w:ind w:left="284"/>
    </w:pPr>
    <w:rPr>
      <w:rFonts w:ascii="Times New Roman" w:hAnsi="Times New Roman"/>
    </w:rPr>
  </w:style>
  <w:style w:type="paragraph" w:styleId="TOC1">
    <w:name w:val="toc 1"/>
    <w:basedOn w:val="TOCBase"/>
    <w:next w:val="Normal"/>
    <w:rsid w:val="003B68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68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6860"/>
    <w:rPr>
      <w:rFonts w:ascii="Times New Roman" w:eastAsia="Times New Roman" w:hAnsi="Times New Roman" w:cs="Times New Roman"/>
      <w:sz w:val="16"/>
      <w:lang w:eastAsia="en-US"/>
    </w:rPr>
  </w:style>
  <w:style w:type="paragraph" w:styleId="Title">
    <w:name w:val="Title"/>
    <w:basedOn w:val="HeadingBase"/>
    <w:link w:val="TitleChar"/>
    <w:qFormat/>
    <w:rsid w:val="003B6860"/>
    <w:pPr>
      <w:spacing w:before="5040"/>
      <w:jc w:val="center"/>
    </w:pPr>
    <w:rPr>
      <w:sz w:val="48"/>
      <w:szCs w:val="72"/>
      <w:lang w:val="en-US"/>
    </w:rPr>
  </w:style>
  <w:style w:type="character" w:customStyle="1" w:styleId="TitleChar">
    <w:name w:val="Title Char"/>
    <w:basedOn w:val="DefaultParagraphFont"/>
    <w:link w:val="Title"/>
    <w:rsid w:val="003B68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6860"/>
    <w:pPr>
      <w:tabs>
        <w:tab w:val="left" w:pos="3600"/>
        <w:tab w:val="left" w:pos="3958"/>
      </w:tabs>
    </w:pPr>
  </w:style>
  <w:style w:type="paragraph" w:styleId="List">
    <w:name w:val="List"/>
    <w:basedOn w:val="BodyText"/>
    <w:next w:val="BodyText"/>
    <w:rsid w:val="003B6860"/>
    <w:pPr>
      <w:tabs>
        <w:tab w:val="left" w:pos="340"/>
      </w:tabs>
      <w:spacing w:before="60" w:after="60"/>
      <w:ind w:left="340" w:hanging="340"/>
    </w:pPr>
  </w:style>
  <w:style w:type="paragraph" w:customStyle="1" w:styleId="Note">
    <w:name w:val="Note"/>
    <w:basedOn w:val="BodyText"/>
    <w:rsid w:val="003B68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6860"/>
    <w:rPr>
      <w:b/>
      <w:spacing w:val="0"/>
    </w:rPr>
  </w:style>
  <w:style w:type="paragraph" w:customStyle="1" w:styleId="SuperTitle">
    <w:name w:val="SuperTitle"/>
    <w:basedOn w:val="Title"/>
    <w:rsid w:val="003B6860"/>
    <w:pPr>
      <w:framePr w:wrap="auto" w:hAnchor="text" w:y="6049"/>
    </w:pPr>
    <w:rPr>
      <w:color w:val="000000"/>
      <w:sz w:val="40"/>
    </w:rPr>
  </w:style>
  <w:style w:type="paragraph" w:customStyle="1" w:styleId="TOCTitle">
    <w:name w:val="TOCTitle"/>
    <w:basedOn w:val="Heading1"/>
    <w:rsid w:val="003B6860"/>
    <w:pPr>
      <w:spacing w:after="240"/>
      <w:jc w:val="center"/>
      <w:outlineLvl w:val="9"/>
    </w:pPr>
    <w:rPr>
      <w:caps/>
    </w:rPr>
  </w:style>
  <w:style w:type="paragraph" w:customStyle="1" w:styleId="Version">
    <w:name w:val="Version"/>
    <w:rsid w:val="003B68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6860"/>
    <w:pPr>
      <w:keepNext w:val="0"/>
      <w:tabs>
        <w:tab w:val="right" w:pos="4176"/>
      </w:tabs>
      <w:ind w:left="198" w:hanging="198"/>
    </w:pPr>
    <w:rPr>
      <w:rFonts w:ascii="Garamond" w:hAnsi="Garamond"/>
    </w:rPr>
  </w:style>
  <w:style w:type="paragraph" w:styleId="IndexHeading">
    <w:name w:val="index heading"/>
    <w:basedOn w:val="Normal"/>
    <w:next w:val="Index1"/>
    <w:semiHidden/>
    <w:rsid w:val="003B6860"/>
    <w:pPr>
      <w:spacing w:before="120" w:after="120"/>
    </w:pPr>
    <w:rPr>
      <w:rFonts w:ascii="Arial" w:hAnsi="Arial"/>
      <w:b/>
      <w:color w:val="918585"/>
      <w:sz w:val="24"/>
    </w:rPr>
  </w:style>
  <w:style w:type="paragraph" w:styleId="Header">
    <w:name w:val="header"/>
    <w:basedOn w:val="Normal"/>
    <w:link w:val="HeaderChar"/>
    <w:rsid w:val="003B68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6860"/>
    <w:rPr>
      <w:rFonts w:ascii="Times New Roman" w:eastAsia="Times New Roman" w:hAnsi="Times New Roman" w:cs="Times New Roman"/>
      <w:sz w:val="16"/>
      <w:szCs w:val="20"/>
      <w:lang w:val="en-GB" w:eastAsia="en-US"/>
    </w:rPr>
  </w:style>
  <w:style w:type="paragraph" w:customStyle="1" w:styleId="Chapter">
    <w:name w:val="Chapter"/>
    <w:basedOn w:val="Normal"/>
    <w:rsid w:val="003B6860"/>
    <w:pPr>
      <w:spacing w:before="240"/>
    </w:pPr>
    <w:rPr>
      <w:rFonts w:ascii="Times New Roman" w:hAnsi="Times New Roman"/>
      <w:smallCaps/>
      <w:spacing w:val="80"/>
      <w:sz w:val="28"/>
    </w:rPr>
  </w:style>
  <w:style w:type="paragraph" w:customStyle="1" w:styleId="InChapter">
    <w:name w:val="InChapter"/>
    <w:basedOn w:val="Heading3"/>
    <w:rsid w:val="003B6860"/>
    <w:pPr>
      <w:spacing w:after="240"/>
      <w:outlineLvl w:val="9"/>
    </w:pPr>
    <w:rPr>
      <w:noProof/>
    </w:rPr>
  </w:style>
  <w:style w:type="paragraph" w:styleId="Index2">
    <w:name w:val="index 2"/>
    <w:basedOn w:val="Normal"/>
    <w:next w:val="Normal"/>
    <w:semiHidden/>
    <w:rsid w:val="003B6860"/>
    <w:pPr>
      <w:tabs>
        <w:tab w:val="right" w:pos="4176"/>
      </w:tabs>
      <w:ind w:left="568" w:hanging="284"/>
    </w:pPr>
    <w:rPr>
      <w:rFonts w:ascii="Garamond" w:hAnsi="Garamond"/>
    </w:rPr>
  </w:style>
  <w:style w:type="paragraph" w:customStyle="1" w:styleId="Byline">
    <w:name w:val="Byline"/>
    <w:rsid w:val="003B68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6860"/>
    <w:pPr>
      <w:tabs>
        <w:tab w:val="clear" w:pos="3600"/>
        <w:tab w:val="clear" w:pos="3958"/>
      </w:tabs>
      <w:jc w:val="right"/>
    </w:pPr>
  </w:style>
  <w:style w:type="character" w:styleId="Emphasis">
    <w:name w:val="Emphasis"/>
    <w:basedOn w:val="DefaultParagraphFont"/>
    <w:qFormat/>
    <w:rsid w:val="003B6860"/>
    <w:rPr>
      <w:i/>
    </w:rPr>
  </w:style>
  <w:style w:type="paragraph" w:styleId="Caption">
    <w:name w:val="caption"/>
    <w:basedOn w:val="BodyText"/>
    <w:next w:val="Normal"/>
    <w:qFormat/>
    <w:rsid w:val="003B6860"/>
    <w:pPr>
      <w:framePr w:w="2268" w:hSpace="181" w:vSpace="181" w:wrap="around" w:vAnchor="text" w:hAnchor="page" w:x="1135" w:y="285" w:anchorLock="1"/>
    </w:pPr>
    <w:rPr>
      <w:i/>
    </w:rPr>
  </w:style>
  <w:style w:type="paragraph" w:customStyle="1" w:styleId="MiniTOCTitle">
    <w:name w:val="MiniTOCTitle"/>
    <w:basedOn w:val="Heading4"/>
    <w:rsid w:val="003B6860"/>
    <w:pPr>
      <w:spacing w:before="240"/>
      <w:outlineLvl w:val="9"/>
    </w:pPr>
    <w:rPr>
      <w:noProof/>
      <w:sz w:val="24"/>
    </w:rPr>
  </w:style>
  <w:style w:type="paragraph" w:customStyle="1" w:styleId="MiniTOCItem">
    <w:name w:val="MiniTOCItem"/>
    <w:basedOn w:val="ListBullet"/>
    <w:rsid w:val="003B6860"/>
    <w:pPr>
      <w:numPr>
        <w:numId w:val="0"/>
      </w:numPr>
      <w:tabs>
        <w:tab w:val="right" w:leader="dot" w:pos="6521"/>
      </w:tabs>
      <w:spacing w:before="0" w:after="0"/>
    </w:pPr>
  </w:style>
  <w:style w:type="paragraph" w:customStyle="1" w:styleId="TOFTitle">
    <w:name w:val="TOFTitle"/>
    <w:basedOn w:val="TOCTitle"/>
    <w:rsid w:val="003B6860"/>
  </w:style>
  <w:style w:type="paragraph" w:styleId="TableofFigures">
    <w:name w:val="table of figures"/>
    <w:basedOn w:val="Normal"/>
    <w:next w:val="Normal"/>
    <w:semiHidden/>
    <w:rsid w:val="003B6860"/>
    <w:pPr>
      <w:tabs>
        <w:tab w:val="right" w:leader="dot" w:pos="9072"/>
      </w:tabs>
      <w:ind w:left="970" w:hanging="403"/>
    </w:pPr>
    <w:rPr>
      <w:rFonts w:ascii="Times New Roman" w:hAnsi="Times New Roman"/>
      <w:b/>
    </w:rPr>
  </w:style>
  <w:style w:type="paragraph" w:styleId="ListNumber">
    <w:name w:val="List Number"/>
    <w:basedOn w:val="List"/>
    <w:rsid w:val="003B6860"/>
    <w:pPr>
      <w:numPr>
        <w:numId w:val="15"/>
      </w:numPr>
      <w:tabs>
        <w:tab w:val="clear" w:pos="340"/>
      </w:tabs>
    </w:pPr>
  </w:style>
  <w:style w:type="character" w:customStyle="1" w:styleId="WingdingSymbols">
    <w:name w:val="Wingding Symbols"/>
    <w:rsid w:val="003B6860"/>
    <w:rPr>
      <w:rFonts w:ascii="Wingdings" w:hAnsi="Wingdings"/>
    </w:rPr>
  </w:style>
  <w:style w:type="paragraph" w:customStyle="1" w:styleId="TableHeading">
    <w:name w:val="Table Heading"/>
    <w:basedOn w:val="HeadingBase"/>
    <w:rsid w:val="003B6860"/>
    <w:pPr>
      <w:keepLines/>
      <w:pBdr>
        <w:bottom w:val="single" w:sz="6" w:space="1" w:color="918585"/>
      </w:pBdr>
      <w:spacing w:before="240"/>
    </w:pPr>
  </w:style>
  <w:style w:type="character" w:customStyle="1" w:styleId="HotSpot">
    <w:name w:val="HotSpot"/>
    <w:rsid w:val="003B6860"/>
    <w:rPr>
      <w:color w:val="0033CC"/>
      <w:u w:val="none"/>
    </w:rPr>
  </w:style>
  <w:style w:type="paragraph" w:customStyle="1" w:styleId="BodyTextRight">
    <w:name w:val="Body Text Right"/>
    <w:basedOn w:val="BodyText"/>
    <w:rsid w:val="003B6860"/>
    <w:pPr>
      <w:spacing w:before="0" w:after="0"/>
      <w:jc w:val="right"/>
    </w:pPr>
  </w:style>
  <w:style w:type="paragraph" w:styleId="Index3">
    <w:name w:val="index 3"/>
    <w:basedOn w:val="ListNumber2"/>
    <w:next w:val="Normal"/>
    <w:semiHidden/>
    <w:rsid w:val="003B6860"/>
    <w:pPr>
      <w:numPr>
        <w:numId w:val="0"/>
      </w:numPr>
      <w:tabs>
        <w:tab w:val="right" w:leader="dot" w:pos="4176"/>
      </w:tabs>
    </w:pPr>
  </w:style>
  <w:style w:type="paragraph" w:styleId="ListNumber2">
    <w:name w:val="List Number 2"/>
    <w:basedOn w:val="List2"/>
    <w:rsid w:val="003B6860"/>
    <w:pPr>
      <w:numPr>
        <w:numId w:val="10"/>
      </w:numPr>
      <w:tabs>
        <w:tab w:val="clear" w:pos="1060"/>
      </w:tabs>
    </w:pPr>
  </w:style>
  <w:style w:type="paragraph" w:customStyle="1" w:styleId="MarginNote">
    <w:name w:val="Margin Note"/>
    <w:basedOn w:val="BodyText"/>
    <w:rsid w:val="003B68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68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68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6860"/>
    <w:rPr>
      <w:sz w:val="32"/>
    </w:rPr>
  </w:style>
  <w:style w:type="paragraph" w:customStyle="1" w:styleId="HeadingProcedure">
    <w:name w:val="Heading Procedure"/>
    <w:basedOn w:val="HeadingBase"/>
    <w:next w:val="Normal"/>
    <w:rsid w:val="003B6860"/>
    <w:pPr>
      <w:tabs>
        <w:tab w:val="left" w:pos="0"/>
      </w:tabs>
      <w:spacing w:before="120" w:after="60"/>
    </w:pPr>
    <w:rPr>
      <w:i/>
      <w:color w:val="918585"/>
      <w:sz w:val="22"/>
    </w:rPr>
  </w:style>
  <w:style w:type="paragraph" w:customStyle="1" w:styleId="TableBodyText">
    <w:name w:val="Table Body Text"/>
    <w:basedOn w:val="BodyText"/>
    <w:rsid w:val="003B6860"/>
    <w:pPr>
      <w:spacing w:before="60" w:after="60"/>
    </w:pPr>
  </w:style>
  <w:style w:type="paragraph" w:styleId="ListContinue">
    <w:name w:val="List Continue"/>
    <w:basedOn w:val="List"/>
    <w:rsid w:val="003B6860"/>
    <w:pPr>
      <w:ind w:firstLine="0"/>
    </w:pPr>
  </w:style>
  <w:style w:type="paragraph" w:customStyle="1" w:styleId="ListNote">
    <w:name w:val="List Note"/>
    <w:basedOn w:val="List"/>
    <w:rsid w:val="003B6860"/>
    <w:pPr>
      <w:pBdr>
        <w:top w:val="single" w:sz="6" w:space="2" w:color="918585"/>
        <w:bottom w:val="single" w:sz="6" w:space="2" w:color="918585"/>
      </w:pBdr>
      <w:tabs>
        <w:tab w:val="left" w:pos="1021"/>
      </w:tabs>
      <w:ind w:firstLine="0"/>
    </w:pPr>
  </w:style>
  <w:style w:type="paragraph" w:customStyle="1" w:styleId="Warning">
    <w:name w:val="Warning"/>
    <w:basedOn w:val="BodyText"/>
    <w:rsid w:val="003B6860"/>
    <w:pPr>
      <w:shd w:val="clear" w:color="auto" w:fill="D9D9D9"/>
      <w:tabs>
        <w:tab w:val="left" w:pos="992"/>
      </w:tabs>
      <w:ind w:left="119" w:right="119"/>
    </w:pPr>
    <w:rPr>
      <w:sz w:val="20"/>
    </w:rPr>
  </w:style>
  <w:style w:type="paragraph" w:customStyle="1" w:styleId="MarginIcons">
    <w:name w:val="Margin Icons"/>
    <w:basedOn w:val="BodyText"/>
    <w:rsid w:val="003B68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6860"/>
    <w:rPr>
      <w:rFonts w:ascii="Courier New" w:hAnsi="Courier New"/>
    </w:rPr>
  </w:style>
  <w:style w:type="paragraph" w:customStyle="1" w:styleId="NoteBullet">
    <w:name w:val="Note Bullet"/>
    <w:basedOn w:val="Note"/>
    <w:rsid w:val="003B6860"/>
    <w:pPr>
      <w:tabs>
        <w:tab w:val="clear" w:pos="680"/>
      </w:tabs>
      <w:spacing w:before="60" w:after="60"/>
    </w:pPr>
  </w:style>
  <w:style w:type="paragraph" w:customStyle="1" w:styleId="SubHeading2">
    <w:name w:val="SubHeading2"/>
    <w:basedOn w:val="HeadingBase"/>
    <w:rsid w:val="003B6860"/>
    <w:pPr>
      <w:spacing w:before="240" w:after="60"/>
    </w:pPr>
    <w:rPr>
      <w:sz w:val="20"/>
    </w:rPr>
  </w:style>
  <w:style w:type="paragraph" w:customStyle="1" w:styleId="SubHeading1">
    <w:name w:val="SubHeading1"/>
    <w:basedOn w:val="HeadingBase"/>
    <w:rsid w:val="003B6860"/>
    <w:pPr>
      <w:spacing w:before="240" w:after="60"/>
    </w:pPr>
    <w:rPr>
      <w:color w:val="918585"/>
      <w:sz w:val="22"/>
    </w:rPr>
  </w:style>
  <w:style w:type="paragraph" w:customStyle="1" w:styleId="SideHeading">
    <w:name w:val="Side Heading"/>
    <w:basedOn w:val="HeadingBase"/>
    <w:rsid w:val="003B68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6860"/>
    <w:pPr>
      <w:tabs>
        <w:tab w:val="num" w:pos="360"/>
      </w:tabs>
    </w:pPr>
  </w:style>
  <w:style w:type="paragraph" w:styleId="PlainText">
    <w:name w:val="Plain Text"/>
    <w:basedOn w:val="Normal"/>
    <w:link w:val="PlainTextChar"/>
    <w:rsid w:val="003B6860"/>
    <w:rPr>
      <w:sz w:val="20"/>
    </w:rPr>
  </w:style>
  <w:style w:type="character" w:customStyle="1" w:styleId="PlainTextChar">
    <w:name w:val="Plain Text Char"/>
    <w:basedOn w:val="DefaultParagraphFont"/>
    <w:link w:val="PlainText"/>
    <w:rsid w:val="003B6860"/>
    <w:rPr>
      <w:rFonts w:ascii="Courier New" w:eastAsia="Times New Roman" w:hAnsi="Courier New" w:cs="Times New Roman"/>
      <w:sz w:val="20"/>
      <w:szCs w:val="20"/>
      <w:lang w:eastAsia="en-US"/>
    </w:rPr>
  </w:style>
  <w:style w:type="character" w:customStyle="1" w:styleId="MenuOption">
    <w:name w:val="Menu Option"/>
    <w:basedOn w:val="DefaultParagraphFont"/>
    <w:rsid w:val="003B6860"/>
    <w:rPr>
      <w:b/>
      <w:smallCaps/>
    </w:rPr>
  </w:style>
  <w:style w:type="paragraph" w:customStyle="1" w:styleId="TableListNumber">
    <w:name w:val="Table List Number"/>
    <w:basedOn w:val="ListNumber"/>
    <w:rsid w:val="003B6860"/>
    <w:pPr>
      <w:numPr>
        <w:numId w:val="0"/>
      </w:numPr>
    </w:pPr>
  </w:style>
  <w:style w:type="paragraph" w:styleId="TOC4">
    <w:name w:val="toc 4"/>
    <w:basedOn w:val="TOCBase"/>
    <w:next w:val="Normal"/>
    <w:semiHidden/>
    <w:rsid w:val="003B6860"/>
    <w:pPr>
      <w:tabs>
        <w:tab w:val="right" w:leader="dot" w:pos="9071"/>
      </w:tabs>
      <w:ind w:left="1701"/>
    </w:pPr>
  </w:style>
  <w:style w:type="paragraph" w:customStyle="1" w:styleId="ListAlpha">
    <w:name w:val="List Alpha"/>
    <w:basedOn w:val="List"/>
    <w:rsid w:val="003B6860"/>
    <w:pPr>
      <w:numPr>
        <w:numId w:val="9"/>
      </w:numPr>
    </w:pPr>
  </w:style>
  <w:style w:type="paragraph" w:customStyle="1" w:styleId="ListAlpha2">
    <w:name w:val="List Alpha 2"/>
    <w:basedOn w:val="List2"/>
    <w:rsid w:val="003B6860"/>
    <w:pPr>
      <w:numPr>
        <w:numId w:val="8"/>
      </w:numPr>
    </w:pPr>
  </w:style>
  <w:style w:type="paragraph" w:styleId="List2">
    <w:name w:val="List 2"/>
    <w:basedOn w:val="BodyText"/>
    <w:rsid w:val="003B6860"/>
    <w:pPr>
      <w:tabs>
        <w:tab w:val="left" w:pos="680"/>
      </w:tabs>
      <w:spacing w:before="60" w:after="60"/>
      <w:ind w:left="680" w:hanging="340"/>
    </w:pPr>
  </w:style>
  <w:style w:type="paragraph" w:styleId="List3">
    <w:name w:val="List 3"/>
    <w:basedOn w:val="BodyText"/>
    <w:rsid w:val="003B6860"/>
    <w:pPr>
      <w:tabs>
        <w:tab w:val="left" w:pos="1021"/>
      </w:tabs>
      <w:spacing w:before="60" w:after="60"/>
      <w:ind w:left="1020" w:hanging="340"/>
    </w:pPr>
  </w:style>
  <w:style w:type="paragraph" w:styleId="List4">
    <w:name w:val="List 4"/>
    <w:basedOn w:val="BodyText"/>
    <w:rsid w:val="003B6860"/>
    <w:pPr>
      <w:tabs>
        <w:tab w:val="left" w:pos="1361"/>
      </w:tabs>
      <w:spacing w:before="60" w:after="60"/>
      <w:ind w:left="1361" w:hanging="340"/>
    </w:pPr>
  </w:style>
  <w:style w:type="paragraph" w:styleId="List5">
    <w:name w:val="List 5"/>
    <w:basedOn w:val="BodyText"/>
    <w:rsid w:val="003B6860"/>
    <w:pPr>
      <w:tabs>
        <w:tab w:val="left" w:pos="1701"/>
      </w:tabs>
      <w:spacing w:before="60" w:after="60"/>
      <w:ind w:left="1701" w:hanging="340"/>
    </w:pPr>
  </w:style>
  <w:style w:type="paragraph" w:styleId="ListBullet3">
    <w:name w:val="List Bullet 3"/>
    <w:basedOn w:val="List3"/>
    <w:rsid w:val="003B6860"/>
    <w:pPr>
      <w:numPr>
        <w:numId w:val="14"/>
      </w:numPr>
      <w:tabs>
        <w:tab w:val="clear" w:pos="1021"/>
      </w:tabs>
      <w:ind w:left="1037" w:hanging="357"/>
    </w:pPr>
  </w:style>
  <w:style w:type="paragraph" w:styleId="ListBullet4">
    <w:name w:val="List Bullet 4"/>
    <w:basedOn w:val="List4"/>
    <w:rsid w:val="003B6860"/>
    <w:pPr>
      <w:numPr>
        <w:numId w:val="3"/>
      </w:numPr>
      <w:tabs>
        <w:tab w:val="clear" w:pos="1361"/>
      </w:tabs>
    </w:pPr>
  </w:style>
  <w:style w:type="paragraph" w:styleId="ListBullet5">
    <w:name w:val="List Bullet 5"/>
    <w:basedOn w:val="List5"/>
    <w:rsid w:val="003B6860"/>
    <w:pPr>
      <w:numPr>
        <w:numId w:val="4"/>
      </w:numPr>
    </w:pPr>
  </w:style>
  <w:style w:type="paragraph" w:styleId="ListContinue2">
    <w:name w:val="List Continue 2"/>
    <w:basedOn w:val="List2"/>
    <w:rsid w:val="003B6860"/>
    <w:pPr>
      <w:ind w:firstLine="0"/>
    </w:pPr>
  </w:style>
  <w:style w:type="paragraph" w:styleId="ListContinue3">
    <w:name w:val="List Continue 3"/>
    <w:basedOn w:val="List3"/>
    <w:rsid w:val="003B6860"/>
    <w:pPr>
      <w:ind w:left="1021" w:firstLine="0"/>
    </w:pPr>
  </w:style>
  <w:style w:type="paragraph" w:styleId="ListContinue4">
    <w:name w:val="List Continue 4"/>
    <w:basedOn w:val="List4"/>
    <w:rsid w:val="003B6860"/>
    <w:pPr>
      <w:ind w:firstLine="0"/>
    </w:pPr>
  </w:style>
  <w:style w:type="paragraph" w:styleId="ListContinue5">
    <w:name w:val="List Continue 5"/>
    <w:basedOn w:val="List5"/>
    <w:rsid w:val="003B6860"/>
    <w:pPr>
      <w:ind w:firstLine="0"/>
    </w:pPr>
  </w:style>
  <w:style w:type="paragraph" w:styleId="ListNumber3">
    <w:name w:val="List Number 3"/>
    <w:basedOn w:val="List3"/>
    <w:rsid w:val="003B6860"/>
    <w:pPr>
      <w:numPr>
        <w:numId w:val="5"/>
      </w:numPr>
    </w:pPr>
  </w:style>
  <w:style w:type="paragraph" w:styleId="ListNumber4">
    <w:name w:val="List Number 4"/>
    <w:basedOn w:val="List4"/>
    <w:rsid w:val="003B6860"/>
    <w:pPr>
      <w:numPr>
        <w:numId w:val="6"/>
      </w:numPr>
    </w:pPr>
  </w:style>
  <w:style w:type="paragraph" w:styleId="ListNumber5">
    <w:name w:val="List Number 5"/>
    <w:basedOn w:val="List5"/>
    <w:rsid w:val="003B6860"/>
    <w:pPr>
      <w:numPr>
        <w:numId w:val="7"/>
      </w:numPr>
    </w:pPr>
  </w:style>
  <w:style w:type="paragraph" w:styleId="BlockText">
    <w:name w:val="Block Text"/>
    <w:basedOn w:val="Normal"/>
    <w:rsid w:val="003B6860"/>
    <w:pPr>
      <w:spacing w:after="120"/>
      <w:ind w:left="1440" w:right="1440"/>
    </w:pPr>
  </w:style>
  <w:style w:type="character" w:customStyle="1" w:styleId="Subscript">
    <w:name w:val="Subscript"/>
    <w:basedOn w:val="DefaultParagraphFont"/>
    <w:rsid w:val="003B6860"/>
    <w:rPr>
      <w:sz w:val="16"/>
      <w:vertAlign w:val="subscript"/>
    </w:rPr>
  </w:style>
  <w:style w:type="character" w:customStyle="1" w:styleId="Superscript">
    <w:name w:val="Superscript"/>
    <w:basedOn w:val="DefaultParagraphFont"/>
    <w:rsid w:val="003B6860"/>
    <w:rPr>
      <w:sz w:val="16"/>
      <w:vertAlign w:val="superscript"/>
    </w:rPr>
  </w:style>
  <w:style w:type="character" w:customStyle="1" w:styleId="Symbols">
    <w:name w:val="Symbols"/>
    <w:basedOn w:val="DefaultParagraphFont"/>
    <w:rsid w:val="003B6860"/>
    <w:rPr>
      <w:rFonts w:ascii="Symbol" w:hAnsi="Symbol"/>
    </w:rPr>
  </w:style>
  <w:style w:type="character" w:customStyle="1" w:styleId="MenuOptions">
    <w:name w:val="Menu Options"/>
    <w:basedOn w:val="DefaultParagraphFont"/>
    <w:rsid w:val="003B6860"/>
    <w:rPr>
      <w:rFonts w:ascii="Arial Narrow" w:hAnsi="Arial Narrow"/>
      <w:smallCaps/>
    </w:rPr>
  </w:style>
  <w:style w:type="character" w:customStyle="1" w:styleId="Buttons">
    <w:name w:val="Buttons"/>
    <w:basedOn w:val="DefaultParagraphFont"/>
    <w:rsid w:val="003B6860"/>
    <w:rPr>
      <w:b/>
    </w:rPr>
  </w:style>
  <w:style w:type="character" w:customStyle="1" w:styleId="Underlined">
    <w:name w:val="Underlined"/>
    <w:basedOn w:val="DefaultParagraphFont"/>
    <w:rsid w:val="003B6860"/>
    <w:rPr>
      <w:u w:val="single"/>
    </w:rPr>
  </w:style>
  <w:style w:type="paragraph" w:customStyle="1" w:styleId="TableBodyTextRight">
    <w:name w:val="Table Body Text Right"/>
    <w:basedOn w:val="TableBodyText"/>
    <w:rsid w:val="003B6860"/>
    <w:pPr>
      <w:widowControl w:val="0"/>
      <w:autoSpaceDE w:val="0"/>
      <w:autoSpaceDN w:val="0"/>
      <w:adjustRightInd w:val="0"/>
      <w:jc w:val="right"/>
    </w:pPr>
    <w:rPr>
      <w:rFonts w:cs="Arial"/>
      <w:szCs w:val="18"/>
    </w:rPr>
  </w:style>
  <w:style w:type="paragraph" w:customStyle="1" w:styleId="CopyrightText">
    <w:name w:val="Copyright Text"/>
    <w:basedOn w:val="BodyText"/>
    <w:rsid w:val="003B6860"/>
    <w:rPr>
      <w:sz w:val="18"/>
    </w:rPr>
  </w:style>
  <w:style w:type="paragraph" w:customStyle="1" w:styleId="BodySmallRight">
    <w:name w:val="Body Small Right"/>
    <w:basedOn w:val="BodyTextRight"/>
    <w:rsid w:val="003B6860"/>
    <w:rPr>
      <w:sz w:val="18"/>
      <w:szCs w:val="18"/>
    </w:rPr>
  </w:style>
  <w:style w:type="paragraph" w:customStyle="1" w:styleId="MarginEdition">
    <w:name w:val="Margin Edition"/>
    <w:basedOn w:val="MarginNote"/>
    <w:rsid w:val="003B6860"/>
    <w:pPr>
      <w:spacing w:before="0" w:after="0"/>
    </w:pPr>
    <w:rPr>
      <w:rFonts w:ascii="Times New Roman" w:hAnsi="Times New Roman"/>
      <w:color w:val="999999"/>
    </w:rPr>
  </w:style>
  <w:style w:type="paragraph" w:customStyle="1" w:styleId="Spacer">
    <w:name w:val="Spacer"/>
    <w:basedOn w:val="Normal"/>
    <w:rsid w:val="003B6860"/>
    <w:rPr>
      <w:sz w:val="2"/>
      <w:szCs w:val="2"/>
    </w:rPr>
  </w:style>
  <w:style w:type="character" w:customStyle="1" w:styleId="Small">
    <w:name w:val="Small"/>
    <w:basedOn w:val="DefaultParagraphFont"/>
    <w:rsid w:val="003B6860"/>
    <w:rPr>
      <w:sz w:val="16"/>
    </w:rPr>
  </w:style>
  <w:style w:type="paragraph" w:customStyle="1" w:styleId="WideTable">
    <w:name w:val="Wide Table"/>
    <w:basedOn w:val="Normal"/>
    <w:rsid w:val="003B6860"/>
    <w:pPr>
      <w:ind w:left="-1418"/>
    </w:pPr>
    <w:rPr>
      <w:sz w:val="2"/>
      <w:szCs w:val="2"/>
    </w:rPr>
  </w:style>
  <w:style w:type="character" w:styleId="PageNumber">
    <w:name w:val="page number"/>
    <w:basedOn w:val="DefaultParagraphFont"/>
    <w:rsid w:val="003B6860"/>
  </w:style>
  <w:style w:type="paragraph" w:styleId="Quote">
    <w:name w:val="Quote"/>
    <w:basedOn w:val="Heading1"/>
    <w:link w:val="QuoteChar"/>
    <w:qFormat/>
    <w:rsid w:val="003B6860"/>
    <w:rPr>
      <w:b w:val="0"/>
      <w:sz w:val="72"/>
      <w:szCs w:val="72"/>
      <w:lang w:val="en-NZ"/>
    </w:rPr>
  </w:style>
  <w:style w:type="character" w:customStyle="1" w:styleId="QuoteChar">
    <w:name w:val="Quote Char"/>
    <w:basedOn w:val="DefaultParagraphFont"/>
    <w:link w:val="Quote"/>
    <w:rsid w:val="003B68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6860"/>
    <w:pPr>
      <w:pageBreakBefore/>
    </w:pPr>
  </w:style>
  <w:style w:type="paragraph" w:customStyle="1" w:styleId="Border">
    <w:name w:val="Border"/>
    <w:basedOn w:val="Normal"/>
    <w:qFormat/>
    <w:rsid w:val="003B68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6860"/>
    <w:rPr>
      <w:b/>
      <w:bCs/>
      <w:i/>
      <w:iCs/>
      <w:color w:val="auto"/>
    </w:rPr>
  </w:style>
  <w:style w:type="paragraph" w:styleId="IntenseQuote">
    <w:name w:val="Intense Quote"/>
    <w:basedOn w:val="Normal"/>
    <w:next w:val="Normal"/>
    <w:link w:val="IntenseQuoteChar"/>
    <w:uiPriority w:val="30"/>
    <w:qFormat/>
    <w:rsid w:val="003B68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68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6860"/>
    <w:rPr>
      <w:smallCaps/>
      <w:color w:val="auto"/>
      <w:u w:val="single"/>
    </w:rPr>
  </w:style>
  <w:style w:type="character" w:styleId="IntenseReference">
    <w:name w:val="Intense Reference"/>
    <w:basedOn w:val="DefaultParagraphFont"/>
    <w:uiPriority w:val="32"/>
    <w:qFormat/>
    <w:rsid w:val="003B6860"/>
    <w:rPr>
      <w:b/>
      <w:bCs/>
      <w:smallCaps/>
      <w:color w:val="auto"/>
      <w:spacing w:val="5"/>
      <w:u w:val="single"/>
    </w:rPr>
  </w:style>
  <w:style w:type="paragraph" w:customStyle="1" w:styleId="2ColumnHeading">
    <w:name w:val="2Column Heading"/>
    <w:basedOn w:val="BodyText"/>
    <w:qFormat/>
    <w:rsid w:val="003B6860"/>
    <w:pPr>
      <w:spacing w:after="60"/>
      <w:ind w:left="-2268"/>
    </w:pPr>
    <w:rPr>
      <w:b/>
    </w:rPr>
  </w:style>
  <w:style w:type="paragraph" w:customStyle="1" w:styleId="Heading1TOC">
    <w:name w:val="Heading1 TOC"/>
    <w:basedOn w:val="Normal"/>
    <w:qFormat/>
    <w:rsid w:val="003B6860"/>
    <w:pPr>
      <w:spacing w:before="240" w:after="120"/>
    </w:pPr>
    <w:rPr>
      <w:rFonts w:ascii="Times New Roman" w:hAnsi="Times New Roman"/>
      <w:b/>
      <w:sz w:val="32"/>
    </w:rPr>
  </w:style>
  <w:style w:type="paragraph" w:customStyle="1" w:styleId="Heading2TOC">
    <w:name w:val="Heading2 TOC"/>
    <w:basedOn w:val="Normal"/>
    <w:qFormat/>
    <w:rsid w:val="003B6860"/>
    <w:pPr>
      <w:spacing w:before="240" w:after="60"/>
    </w:pPr>
    <w:rPr>
      <w:rFonts w:ascii="Times New Roman" w:hAnsi="Times New Roman"/>
      <w:b/>
      <w:sz w:val="28"/>
    </w:rPr>
  </w:style>
  <w:style w:type="character" w:customStyle="1" w:styleId="Underline">
    <w:name w:val="Underline"/>
    <w:basedOn w:val="DefaultParagraphFont"/>
    <w:qFormat/>
    <w:rsid w:val="003B6860"/>
    <w:rPr>
      <w:u w:val="single"/>
    </w:rPr>
  </w:style>
  <w:style w:type="character" w:customStyle="1" w:styleId="BoldandItalics">
    <w:name w:val="Bold and Italics"/>
    <w:qFormat/>
    <w:rsid w:val="003B6860"/>
    <w:rPr>
      <w:b/>
      <w:i/>
      <w:u w:val="none"/>
    </w:rPr>
  </w:style>
  <w:style w:type="paragraph" w:styleId="BalloonText">
    <w:name w:val="Balloon Text"/>
    <w:basedOn w:val="Normal"/>
    <w:link w:val="BalloonTextChar"/>
    <w:rsid w:val="003B6860"/>
    <w:rPr>
      <w:rFonts w:ascii="Tahoma" w:hAnsi="Tahoma" w:cs="Tahoma"/>
      <w:sz w:val="16"/>
      <w:szCs w:val="16"/>
    </w:rPr>
  </w:style>
  <w:style w:type="character" w:customStyle="1" w:styleId="BalloonTextChar">
    <w:name w:val="Balloon Text Char"/>
    <w:basedOn w:val="DefaultParagraphFont"/>
    <w:link w:val="BalloonText"/>
    <w:rsid w:val="003B68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68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68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6860"/>
    <w:rPr>
      <w:b/>
      <w:color w:val="660033"/>
      <w:spacing w:val="0"/>
    </w:rPr>
  </w:style>
  <w:style w:type="paragraph" w:customStyle="1" w:styleId="Nameditemlist">
    <w:name w:val="Named item list"/>
    <w:basedOn w:val="BodyText"/>
    <w:qFormat/>
    <w:rsid w:val="003B6860"/>
    <w:pPr>
      <w:tabs>
        <w:tab w:val="left" w:pos="2835"/>
      </w:tabs>
      <w:ind w:left="2835" w:hanging="2835"/>
    </w:pPr>
  </w:style>
  <w:style w:type="paragraph" w:customStyle="1" w:styleId="BodyTextnopadding">
    <w:name w:val="Body Text no padding"/>
    <w:basedOn w:val="BodyText"/>
    <w:qFormat/>
    <w:rsid w:val="003B6860"/>
    <w:pPr>
      <w:spacing w:before="0" w:after="0"/>
    </w:pPr>
  </w:style>
  <w:style w:type="paragraph" w:customStyle="1" w:styleId="BodyTextBold">
    <w:name w:val="Body Text Bold"/>
    <w:basedOn w:val="BodyText"/>
    <w:qFormat/>
    <w:rsid w:val="003B6860"/>
    <w:rPr>
      <w:b/>
    </w:rPr>
  </w:style>
  <w:style w:type="character" w:styleId="Hyperlink">
    <w:name w:val="Hyperlink"/>
    <w:basedOn w:val="DefaultParagraphFont"/>
    <w:uiPriority w:val="99"/>
    <w:unhideWhenUsed/>
    <w:rsid w:val="00C472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1109</Words>
  <Characters>7393</Characters>
  <Application>Microsoft Office Word</Application>
  <DocSecurity>0</DocSecurity>
  <Lines>264</Lines>
  <Paragraphs>128</Paragraphs>
  <ScaleCrop>false</ScaleCrop>
  <Company>Author-it Software Corporation Ltd.</Company>
  <LinksUpToDate>false</LinksUpToDate>
  <CharactersWithSpaces>8374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CPPFES3046 Decommission gaseous agent containers and actuators</dc:title>
  <dc:subject>Approved</dc:subject>
  <dc:creator>BuildSkills Australia</dc:creator>
  <cp:keywords>Release: 1</cp:keywords>
  <dc:description>Review Date: 12 April 2008</dc:description>
  <cp:lastModifiedBy>HSD_TPCMSd.prod</cp:lastModifiedBy>
  <cp:revision>3</cp:revision>
  <dcterms:created xsi:type="dcterms:W3CDTF">2025-03-01T10:53:00Z</dcterms:created>
  <dcterms:modified xsi:type="dcterms:W3CDTF">2025-03-01T10:53:00Z</dcterms:modified>
</cp:coreProperties>
</file>