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8E5" w:rsidP="00CD6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CPPFES3046 Decommission gaseous agent containers and actuators</w:t>
      </w:r>
      <w:r>
        <w:fldChar w:fldCharType="end"/>
      </w:r>
    </w:p>
    <w:p w:rsidR="00CD68E5" w:rsidP="00CD68E5">
      <w:pPr>
        <w:pStyle w:val="Version"/>
        <w:sectPr w:rsidSect="00CD3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F7C" w:rsidP="00CD3F7C">
      <w:pPr>
        <w:pStyle w:val="SuperHeading"/>
      </w:pPr>
      <w:r w:rsidRPr="00CD3F7C">
        <w:t>Assessment Requirements for CPPFES3046 Decommission gaseous agent containers and actuators</w:t>
      </w:r>
    </w:p>
    <w:p w:rsidR="00000000" w:rsidRPr="00CD3F7C" w:rsidP="00CD3F7C">
      <w:pPr>
        <w:pStyle w:val="Heading1"/>
      </w:pPr>
      <w:bookmarkStart w:id="1" w:name="O_1163791"/>
      <w:bookmarkEnd w:id="1"/>
      <w:r w:rsidRPr="00CD3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CD3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C">
            <w:pPr>
              <w:pStyle w:val="BodyText"/>
              <w:rPr>
                <w:lang w:val="en-NZ"/>
              </w:rPr>
            </w:pPr>
            <w:r w:rsidRPr="00CD3F7C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C" w:rsidP="00CD3F7C">
            <w:pPr>
              <w:pStyle w:val="BodyText"/>
            </w:pPr>
            <w:r w:rsidRPr="00CD3F7C">
              <w:t>This version first released with CPP Property Services Training Package Release 13.0.</w:t>
            </w:r>
          </w:p>
          <w:p w:rsidR="00000000" w:rsidRPr="00CD3F7C" w:rsidP="00CD3F7C">
            <w:pPr>
              <w:pStyle w:val="BodyText"/>
            </w:pPr>
            <w:r w:rsidRPr="00CD3F7C">
              <w:t>Supersedes and is equivalent to CPPFES3046A Decommission gaseous agent containers and actuators.  Unit updated to meet the Standards for Training Packages 2012.</w:t>
            </w:r>
          </w:p>
        </w:tc>
      </w:tr>
    </w:tbl>
    <w:p w:rsidR="00000000" w:rsidRPr="00CD3F7C" w:rsidP="00CD3F7C">
      <w:pPr>
        <w:pStyle w:val="BodyText"/>
      </w:pPr>
    </w:p>
    <w:p w:rsidR="00000000" w:rsidRPr="00CD3F7C" w:rsidP="00CD3F7C">
      <w:pPr>
        <w:pStyle w:val="AllowPageBreak"/>
      </w:pPr>
    </w:p>
    <w:p w:rsidR="00000000" w:rsidRPr="00CD3F7C" w:rsidP="00CD3F7C">
      <w:pPr>
        <w:pStyle w:val="Heading1"/>
      </w:pPr>
      <w:bookmarkStart w:id="2" w:name="O_1163794"/>
      <w:bookmarkEnd w:id="2"/>
      <w:r w:rsidRPr="00CD3F7C">
        <w:t>Performance Evidence</w:t>
      </w:r>
    </w:p>
    <w:p w:rsidR="00000000" w:rsidRPr="00CD3F7C" w:rsidP="00CD68E5">
      <w:pPr>
        <w:pStyle w:val="BodyText"/>
      </w:pPr>
      <w:r w:rsidRPr="00CD3F7C">
        <w:t xml:space="preserve">To demonstrate competency, a candidate must meet the </w:t>
      </w:r>
      <w:r w:rsidRPr="00CD3F7C">
        <w:t>elements and performance criteria of this unit by decommissioning gaseous agent containers and actuators in two different settings.</w:t>
      </w:r>
    </w:p>
    <w:p w:rsidR="00000000" w:rsidRPr="00CD3F7C" w:rsidP="00CD3F7C">
      <w:pPr>
        <w:pStyle w:val="Heading1"/>
      </w:pPr>
      <w:bookmarkStart w:id="3" w:name="O_1163793"/>
      <w:bookmarkEnd w:id="3"/>
      <w:r w:rsidRPr="00CD3F7C">
        <w:t>Knowledge Evidence</w:t>
      </w:r>
    </w:p>
    <w:p w:rsidR="00000000" w:rsidRPr="00CD3F7C" w:rsidP="00CD68E5">
      <w:pPr>
        <w:pStyle w:val="BodyText"/>
      </w:pPr>
      <w:r w:rsidRPr="00CD3F7C">
        <w:t>To be competent in this unit, a candidate must demonstrate knowledge of:</w:t>
      </w:r>
    </w:p>
    <w:p w:rsidR="00000000" w:rsidRPr="00CD3F7C" w:rsidP="00CD3F7C">
      <w:pPr>
        <w:pStyle w:val="ListBullet"/>
      </w:pPr>
      <w:r w:rsidRPr="00CD3F7C">
        <w:t>action to ta</w:t>
      </w:r>
      <w:r w:rsidRPr="00CD3F7C">
        <w:t>ke when a breach of work health and safety (WHS), ozone depleting substances (ODS) and synthetic greenhouse gases (SGG) regulation or other policy occurs when decommissioning gaseous agent containers and actuators</w:t>
      </w:r>
    </w:p>
    <w:p w:rsidR="00000000" w:rsidRPr="00CD3F7C" w:rsidP="00CD3F7C">
      <w:pPr>
        <w:pStyle w:val="ListBullet"/>
      </w:pPr>
      <w:r w:rsidRPr="00CD3F7C">
        <w:t>implications of not complying with regulat</w:t>
      </w:r>
      <w:r w:rsidRPr="00CD3F7C">
        <w:t>ory requirements when decommissioning gaseous agent containers and actuators</w:t>
      </w:r>
    </w:p>
    <w:p w:rsidR="00000000" w:rsidRPr="00CD3F7C" w:rsidP="00CD3F7C">
      <w:pPr>
        <w:pStyle w:val="ListBullet"/>
      </w:pPr>
      <w:r w:rsidRPr="00CD3F7C">
        <w:t>key features of legislation, regulations, codes and Australian Standards relevant to decommissioning gaseous agent containers and actuators:</w:t>
      </w:r>
    </w:p>
    <w:p w:rsidR="00000000" w:rsidRPr="00CD3F7C" w:rsidP="00CD3F7C">
      <w:pPr>
        <w:pStyle w:val="ListBullet2"/>
      </w:pPr>
      <w:r w:rsidRPr="00CD3F7C">
        <w:t xml:space="preserve">dangerous goods markings and requirements for securing and transporting scheduled gaseous fire-extinguishing agents by road </w:t>
      </w:r>
    </w:p>
    <w:p w:rsidR="00000000" w:rsidRPr="00CD3F7C" w:rsidP="00CD3F7C">
      <w:pPr>
        <w:pStyle w:val="ListBullet2"/>
      </w:pPr>
      <w:r w:rsidRPr="00CD3F7C">
        <w:t>environmental protection</w:t>
      </w:r>
    </w:p>
    <w:p w:rsidR="00000000" w:rsidRPr="00CD3F7C" w:rsidP="00CD3F7C">
      <w:pPr>
        <w:pStyle w:val="ListBullet2"/>
      </w:pPr>
      <w:r w:rsidRPr="00CD3F7C">
        <w:t>extinguishing agent handling licence (EAHL) requirements</w:t>
      </w:r>
    </w:p>
    <w:p w:rsidR="00000000" w:rsidRPr="00CD3F7C" w:rsidP="00CD3F7C">
      <w:pPr>
        <w:pStyle w:val="ListBullet2"/>
      </w:pPr>
      <w:r w:rsidRPr="00CD3F7C">
        <w:t>intent of the Australian Standard for the mainten</w:t>
      </w:r>
      <w:r w:rsidRPr="00CD3F7C">
        <w:t>ance of fire protection systems and equipment in relation to the decommissioning of gaseous agent containers and actuators</w:t>
      </w:r>
    </w:p>
    <w:p w:rsidR="00000000" w:rsidRPr="00CD3F7C" w:rsidP="00CD3F7C">
      <w:pPr>
        <w:pStyle w:val="ListBullet2"/>
      </w:pPr>
      <w:r w:rsidRPr="00CD3F7C">
        <w:t>records and documentation</w:t>
      </w:r>
    </w:p>
    <w:p w:rsidR="00000000" w:rsidRPr="00CD3F7C" w:rsidP="00CD3F7C">
      <w:pPr>
        <w:pStyle w:val="ListBullet"/>
      </w:pPr>
      <w:r w:rsidRPr="00CD3F7C">
        <w:t>methods and reasons for preventing ODS and SGG emissions</w:t>
      </w:r>
    </w:p>
    <w:p w:rsidR="00000000" w:rsidRPr="00CD3F7C" w:rsidP="00CD3F7C">
      <w:pPr>
        <w:pStyle w:val="ListBullet"/>
      </w:pPr>
      <w:r w:rsidRPr="00CD3F7C">
        <w:t>methods for decommissioning gaseous agent contain</w:t>
      </w:r>
      <w:r w:rsidRPr="00CD3F7C">
        <w:t>ers and actuators</w:t>
      </w:r>
    </w:p>
    <w:p w:rsidR="00000000" w:rsidRPr="00CD3F7C" w:rsidP="00CD3F7C">
      <w:pPr>
        <w:pStyle w:val="ListBullet"/>
      </w:pPr>
      <w:r w:rsidRPr="00CD3F7C">
        <w:t>methods for isolating interfaced actuators</w:t>
      </w:r>
    </w:p>
    <w:p w:rsidR="00000000" w:rsidRPr="00CD3F7C" w:rsidP="00CD3F7C">
      <w:pPr>
        <w:pStyle w:val="ListBullet"/>
      </w:pPr>
      <w:r w:rsidRPr="00CD3F7C">
        <w:t>operating principles of actuators, activating mechanisms, discharge valve assembly and manifold connection components</w:t>
      </w:r>
    </w:p>
    <w:p w:rsidR="00000000" w:rsidRPr="00CD3F7C" w:rsidP="00CD3F7C">
      <w:pPr>
        <w:pStyle w:val="ListBullet"/>
      </w:pPr>
      <w:r w:rsidRPr="00CD3F7C">
        <w:t>purpose of auxiliary shutdown fire system and equipment</w:t>
      </w:r>
    </w:p>
    <w:p w:rsidR="00000000" w:rsidRPr="00CD3F7C" w:rsidP="00CD3F7C">
      <w:pPr>
        <w:pStyle w:val="ListBullet"/>
      </w:pPr>
      <w:r w:rsidRPr="00CD3F7C">
        <w:t>purpose of safety dev</w:t>
      </w:r>
      <w:r w:rsidRPr="00CD3F7C">
        <w:t>ices and transport caps</w:t>
      </w:r>
    </w:p>
    <w:p w:rsidR="00000000" w:rsidRPr="00CD3F7C" w:rsidP="00CD3F7C">
      <w:pPr>
        <w:pStyle w:val="ListBullet"/>
      </w:pPr>
      <w:r w:rsidRPr="00CD3F7C">
        <w:t>types and purpose of electrical safeguards used to protect persons and property when decommissioning gaseous agent containers and actuators</w:t>
      </w:r>
    </w:p>
    <w:p w:rsidR="00000000" w:rsidRPr="00CD3F7C" w:rsidP="00CD3F7C">
      <w:pPr>
        <w:pStyle w:val="ListBullet"/>
      </w:pPr>
      <w:r w:rsidRPr="00CD3F7C">
        <w:t xml:space="preserve">types and purpose of tools, equipment and materials used when decommissioning gaseous agent </w:t>
      </w:r>
      <w:r w:rsidRPr="00CD3F7C">
        <w:t>containers and actuators</w:t>
      </w:r>
    </w:p>
    <w:p w:rsidR="00000000" w:rsidRPr="00CD3F7C" w:rsidP="00CD3F7C">
      <w:pPr>
        <w:pStyle w:val="ListBullet"/>
      </w:pPr>
      <w:r w:rsidRPr="00CD3F7C">
        <w:t>workplace requirements for decommissioning gaseous agent containers and actuators:</w:t>
      </w:r>
    </w:p>
    <w:p w:rsidR="00000000" w:rsidRPr="00CD3F7C" w:rsidP="00CD3F7C">
      <w:pPr>
        <w:pStyle w:val="ListBullet2"/>
      </w:pPr>
      <w:r w:rsidRPr="00CD3F7C">
        <w:t>maintenance of tools and equipment</w:t>
      </w:r>
    </w:p>
    <w:p w:rsidR="00000000" w:rsidRPr="00CD3F7C" w:rsidP="00CD3F7C">
      <w:pPr>
        <w:pStyle w:val="ListBullet2"/>
      </w:pPr>
      <w:r w:rsidRPr="00CD3F7C">
        <w:t>WHS, including hazard and risk identification and control.</w:t>
      </w:r>
    </w:p>
    <w:p w:rsidR="00000000" w:rsidRPr="00CD3F7C" w:rsidP="00CD3F7C">
      <w:pPr>
        <w:pStyle w:val="AllowPageBreak"/>
      </w:pPr>
    </w:p>
    <w:p w:rsidR="00000000" w:rsidRPr="00CD3F7C" w:rsidP="00CD3F7C">
      <w:pPr>
        <w:pStyle w:val="Heading1"/>
      </w:pPr>
      <w:bookmarkStart w:id="4" w:name="O_1163792"/>
      <w:bookmarkEnd w:id="4"/>
      <w:r w:rsidRPr="00CD3F7C">
        <w:t>Assessment Conditions</w:t>
      </w:r>
    </w:p>
    <w:p w:rsidR="00000000" w:rsidRPr="00CD3F7C" w:rsidP="00CD68E5">
      <w:pPr>
        <w:pStyle w:val="BodyText"/>
      </w:pPr>
      <w:r w:rsidRPr="00CD3F7C">
        <w:t xml:space="preserve">Assessors must meet the requirements for assessors contained in the Standards for Registered Training Organisations. </w:t>
      </w:r>
    </w:p>
    <w:p w:rsidR="00000000" w:rsidRPr="00CD3F7C" w:rsidP="00CD68E5">
      <w:pPr>
        <w:pStyle w:val="BodyText"/>
      </w:pPr>
      <w:r w:rsidRPr="00CD3F7C">
        <w:t>Assessment must be conducted in the workplace or a simulated workplace using realistic conditions, materials, activities, responsibilities</w:t>
      </w:r>
      <w:r w:rsidRPr="00CD3F7C">
        <w:t>, procedures, safety requirements and environmental considerations.</w:t>
      </w:r>
    </w:p>
    <w:p w:rsidR="00000000" w:rsidRPr="00CD3F7C" w:rsidP="00CD68E5">
      <w:pPr>
        <w:pStyle w:val="BodyText"/>
      </w:pPr>
      <w:r w:rsidRPr="00CD3F7C">
        <w:t>Candidates must have access to decommissioning guidelines and documentation, materials, tools, equipment and installed gaseous agent containers and actuators required to achieve the perfor</w:t>
      </w:r>
      <w:r w:rsidRPr="00CD3F7C">
        <w:t>mance evidence.</w:t>
      </w:r>
    </w:p>
    <w:p w:rsidR="00000000" w:rsidRPr="00CD3F7C" w:rsidP="00CD3F7C">
      <w:pPr>
        <w:pStyle w:val="Heading1"/>
      </w:pPr>
      <w:bookmarkStart w:id="5" w:name="O_1163790"/>
      <w:bookmarkEnd w:id="5"/>
      <w:r w:rsidRPr="00CD3F7C">
        <w:t>Links</w:t>
      </w:r>
    </w:p>
    <w:p w:rsidR="00000000" w:rsidRPr="00CD3F7C" w:rsidP="00CD68E5">
      <w:pPr>
        <w:pStyle w:val="BodyText"/>
      </w:pPr>
      <w:r w:rsidRPr="00CD3F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213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3F7C" w:rsidP="00CD3F7C"/>
    <w:sectPr w:rsidSect="00CD3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C" w:rsidRPr="00CD68E5" w:rsidP="00CD6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E5" w:rsidP="00CD3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8E5" w:rsidP="00CD3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D68E5" w:rsidP="00CD3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F7C" w:rsidRPr="00CD68E5" w:rsidP="00CD6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E5" w:rsidRPr="002D2AF8" w:rsidP="00CD3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CPPFES3046 Decommission gaseous agent containers and actuators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D68E5" w:rsidP="00CD3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49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2F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AF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F7C"/>
  </w:style>
  <w:style w:type="character" w:customStyle="1" w:styleId="Heading1Char">
    <w:name w:val="Heading 1 Char"/>
    <w:basedOn w:val="DefaultParagraphFont"/>
    <w:link w:val="Heading1"/>
    <w:rsid w:val="00CD3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F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F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F7C"/>
    <w:rPr>
      <w:b/>
      <w:spacing w:val="0"/>
    </w:rPr>
  </w:style>
  <w:style w:type="paragraph" w:customStyle="1" w:styleId="SuperTitle">
    <w:name w:val="SuperTitle"/>
    <w:basedOn w:val="Title"/>
    <w:rsid w:val="00CD3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F7C"/>
    <w:rPr>
      <w:i/>
    </w:rPr>
  </w:style>
  <w:style w:type="paragraph" w:styleId="Caption">
    <w:name w:val="caption"/>
    <w:basedOn w:val="BodyText"/>
    <w:next w:val="Normal"/>
    <w:qFormat/>
    <w:rsid w:val="00CD3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F7C"/>
  </w:style>
  <w:style w:type="paragraph" w:styleId="TableofFigures">
    <w:name w:val="table of figures"/>
    <w:basedOn w:val="Normal"/>
    <w:next w:val="Normal"/>
    <w:semiHidden/>
    <w:rsid w:val="00CD3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F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F7C"/>
    <w:rPr>
      <w:rFonts w:ascii="Wingdings" w:hAnsi="Wingdings"/>
    </w:rPr>
  </w:style>
  <w:style w:type="paragraph" w:customStyle="1" w:styleId="TableHeading">
    <w:name w:val="Table Heading"/>
    <w:basedOn w:val="HeadingBase"/>
    <w:rsid w:val="00CD3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F7C"/>
    <w:rPr>
      <w:color w:val="0033CC"/>
      <w:u w:val="none"/>
    </w:rPr>
  </w:style>
  <w:style w:type="paragraph" w:customStyle="1" w:styleId="BodyTextRight">
    <w:name w:val="Body Text Right"/>
    <w:basedOn w:val="BodyText"/>
    <w:rsid w:val="00CD3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F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F7C"/>
    <w:rPr>
      <w:sz w:val="32"/>
    </w:rPr>
  </w:style>
  <w:style w:type="paragraph" w:customStyle="1" w:styleId="HeadingProcedure">
    <w:name w:val="Heading Procedure"/>
    <w:basedOn w:val="HeadingBase"/>
    <w:next w:val="Normal"/>
    <w:rsid w:val="00CD3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F7C"/>
    <w:pPr>
      <w:spacing w:before="60" w:after="60"/>
    </w:pPr>
  </w:style>
  <w:style w:type="paragraph" w:styleId="ListContinue">
    <w:name w:val="List Continue"/>
    <w:basedOn w:val="List"/>
    <w:rsid w:val="00CD3F7C"/>
    <w:pPr>
      <w:ind w:firstLine="0"/>
    </w:pPr>
  </w:style>
  <w:style w:type="paragraph" w:customStyle="1" w:styleId="ListNote">
    <w:name w:val="List Note"/>
    <w:basedOn w:val="List"/>
    <w:rsid w:val="00CD3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F7C"/>
    <w:rPr>
      <w:rFonts w:ascii="Courier New" w:hAnsi="Courier New"/>
    </w:rPr>
  </w:style>
  <w:style w:type="paragraph" w:customStyle="1" w:styleId="NoteBullet">
    <w:name w:val="Note Bullet"/>
    <w:basedOn w:val="Note"/>
    <w:rsid w:val="00CD3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F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F7C"/>
    <w:rPr>
      <w:b/>
      <w:smallCaps/>
    </w:rPr>
  </w:style>
  <w:style w:type="paragraph" w:customStyle="1" w:styleId="TableListNumber">
    <w:name w:val="Table List Number"/>
    <w:basedOn w:val="ListNumber"/>
    <w:rsid w:val="00CD3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F7C"/>
    <w:pPr>
      <w:numPr>
        <w:numId w:val="9"/>
      </w:numPr>
    </w:pPr>
  </w:style>
  <w:style w:type="paragraph" w:customStyle="1" w:styleId="ListAlpha2">
    <w:name w:val="List Alpha 2"/>
    <w:basedOn w:val="List2"/>
    <w:rsid w:val="00CD3F7C"/>
    <w:pPr>
      <w:numPr>
        <w:numId w:val="8"/>
      </w:numPr>
    </w:pPr>
  </w:style>
  <w:style w:type="paragraph" w:styleId="List2">
    <w:name w:val="List 2"/>
    <w:basedOn w:val="BodyText"/>
    <w:rsid w:val="00CD3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F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F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F7C"/>
    <w:pPr>
      <w:numPr>
        <w:numId w:val="4"/>
      </w:numPr>
    </w:pPr>
  </w:style>
  <w:style w:type="paragraph" w:styleId="ListContinue2">
    <w:name w:val="List Continue 2"/>
    <w:basedOn w:val="List2"/>
    <w:rsid w:val="00CD3F7C"/>
    <w:pPr>
      <w:ind w:firstLine="0"/>
    </w:pPr>
  </w:style>
  <w:style w:type="paragraph" w:styleId="ListContinue3">
    <w:name w:val="List Continue 3"/>
    <w:basedOn w:val="List3"/>
    <w:rsid w:val="00CD3F7C"/>
    <w:pPr>
      <w:ind w:left="1021" w:firstLine="0"/>
    </w:pPr>
  </w:style>
  <w:style w:type="paragraph" w:styleId="ListContinue4">
    <w:name w:val="List Continue 4"/>
    <w:basedOn w:val="List4"/>
    <w:rsid w:val="00CD3F7C"/>
    <w:pPr>
      <w:ind w:firstLine="0"/>
    </w:pPr>
  </w:style>
  <w:style w:type="paragraph" w:styleId="ListContinue5">
    <w:name w:val="List Continue 5"/>
    <w:basedOn w:val="List5"/>
    <w:rsid w:val="00CD3F7C"/>
    <w:pPr>
      <w:ind w:firstLine="0"/>
    </w:pPr>
  </w:style>
  <w:style w:type="paragraph" w:styleId="ListNumber3">
    <w:name w:val="List Number 3"/>
    <w:basedOn w:val="List3"/>
    <w:rsid w:val="00CD3F7C"/>
    <w:pPr>
      <w:numPr>
        <w:numId w:val="5"/>
      </w:numPr>
    </w:pPr>
  </w:style>
  <w:style w:type="paragraph" w:styleId="ListNumber4">
    <w:name w:val="List Number 4"/>
    <w:basedOn w:val="List4"/>
    <w:rsid w:val="00CD3F7C"/>
    <w:pPr>
      <w:numPr>
        <w:numId w:val="6"/>
      </w:numPr>
    </w:pPr>
  </w:style>
  <w:style w:type="paragraph" w:styleId="ListNumber5">
    <w:name w:val="List Number 5"/>
    <w:basedOn w:val="List5"/>
    <w:rsid w:val="00CD3F7C"/>
    <w:pPr>
      <w:numPr>
        <w:numId w:val="7"/>
      </w:numPr>
    </w:pPr>
  </w:style>
  <w:style w:type="paragraph" w:styleId="BlockText">
    <w:name w:val="Block Text"/>
    <w:basedOn w:val="Normal"/>
    <w:rsid w:val="00CD3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F7C"/>
    <w:rPr>
      <w:sz w:val="16"/>
      <w:vertAlign w:val="superscript"/>
    </w:rPr>
  </w:style>
  <w:style w:type="character" w:customStyle="1" w:styleId="Symbols">
    <w:name w:val="Symbols"/>
    <w:basedOn w:val="DefaultParagraphFont"/>
    <w:rsid w:val="00CD3F7C"/>
    <w:rPr>
      <w:rFonts w:ascii="Symbol" w:hAnsi="Symbol"/>
    </w:rPr>
  </w:style>
  <w:style w:type="character" w:customStyle="1" w:styleId="MenuOptions">
    <w:name w:val="Menu Options"/>
    <w:basedOn w:val="DefaultParagraphFont"/>
    <w:rsid w:val="00CD3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F7C"/>
    <w:rPr>
      <w:b/>
    </w:rPr>
  </w:style>
  <w:style w:type="character" w:customStyle="1" w:styleId="Underlined">
    <w:name w:val="Underlined"/>
    <w:basedOn w:val="DefaultParagraphFont"/>
    <w:rsid w:val="00CD3F7C"/>
    <w:rPr>
      <w:u w:val="single"/>
    </w:rPr>
  </w:style>
  <w:style w:type="paragraph" w:customStyle="1" w:styleId="TableBodyTextRight">
    <w:name w:val="Table Body Text Right"/>
    <w:basedOn w:val="TableBodyText"/>
    <w:rsid w:val="00CD3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F7C"/>
    <w:rPr>
      <w:sz w:val="18"/>
    </w:rPr>
  </w:style>
  <w:style w:type="paragraph" w:customStyle="1" w:styleId="BodySmallRight">
    <w:name w:val="Body Small Right"/>
    <w:basedOn w:val="BodyTextRight"/>
    <w:rsid w:val="00CD3F7C"/>
    <w:rPr>
      <w:sz w:val="18"/>
      <w:szCs w:val="18"/>
    </w:rPr>
  </w:style>
  <w:style w:type="paragraph" w:customStyle="1" w:styleId="MarginEdition">
    <w:name w:val="Margin Edition"/>
    <w:basedOn w:val="MarginNote"/>
    <w:rsid w:val="00CD3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F7C"/>
    <w:rPr>
      <w:sz w:val="2"/>
      <w:szCs w:val="2"/>
    </w:rPr>
  </w:style>
  <w:style w:type="character" w:customStyle="1" w:styleId="Small">
    <w:name w:val="Small"/>
    <w:basedOn w:val="DefaultParagraphFont"/>
    <w:rsid w:val="00CD3F7C"/>
    <w:rPr>
      <w:sz w:val="16"/>
    </w:rPr>
  </w:style>
  <w:style w:type="paragraph" w:customStyle="1" w:styleId="WideTable">
    <w:name w:val="Wide Table"/>
    <w:basedOn w:val="Normal"/>
    <w:rsid w:val="00CD3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F7C"/>
  </w:style>
  <w:style w:type="paragraph" w:styleId="Quote">
    <w:name w:val="Quote"/>
    <w:basedOn w:val="Heading1"/>
    <w:link w:val="QuoteChar"/>
    <w:qFormat/>
    <w:rsid w:val="00CD3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F7C"/>
    <w:pPr>
      <w:pageBreakBefore/>
    </w:pPr>
  </w:style>
  <w:style w:type="paragraph" w:customStyle="1" w:styleId="Border">
    <w:name w:val="Border"/>
    <w:basedOn w:val="Normal"/>
    <w:qFormat/>
    <w:rsid w:val="00CD3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F7C"/>
    <w:rPr>
      <w:u w:val="single"/>
    </w:rPr>
  </w:style>
  <w:style w:type="character" w:customStyle="1" w:styleId="BoldandItalics">
    <w:name w:val="Bold and Italics"/>
    <w:qFormat/>
    <w:rsid w:val="00CD3F7C"/>
    <w:rPr>
      <w:b/>
      <w:i/>
      <w:u w:val="none"/>
    </w:rPr>
  </w:style>
  <w:style w:type="paragraph" w:styleId="BalloonText">
    <w:name w:val="Balloon Text"/>
    <w:basedOn w:val="Normal"/>
    <w:link w:val="BalloonTextChar"/>
    <w:rsid w:val="00CD3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F7C"/>
    <w:pPr>
      <w:spacing w:before="0" w:after="0"/>
    </w:pPr>
  </w:style>
  <w:style w:type="paragraph" w:customStyle="1" w:styleId="BodyTextBold">
    <w:name w:val="Body Text Bold"/>
    <w:basedOn w:val="BodyText"/>
    <w:qFormat/>
    <w:rsid w:val="00CD3F7C"/>
    <w:rPr>
      <w:b/>
    </w:rPr>
  </w:style>
  <w:style w:type="character" w:styleId="Hyperlink">
    <w:name w:val="Hyperlink"/>
    <w:basedOn w:val="DefaultParagraphFont"/>
    <w:uiPriority w:val="99"/>
    <w:unhideWhenUsed/>
    <w:rsid w:val="00CD6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2953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CPPFES3046 Decommission gaseous agent containers and actuators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