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287A" w:rsidP="00F7287A">
      <w:pPr>
        <w:pStyle w:val="Title"/>
      </w:pPr>
      <w:r>
        <w:fldChar w:fldCharType="begin"/>
      </w:r>
      <w:r>
        <w:instrText xml:space="preserve"> TITLE   \* MERGEFORMAT </w:instrText>
      </w:r>
      <w:r>
        <w:fldChar w:fldCharType="separate"/>
      </w:r>
      <w:r>
        <w:t>CPPFES3045 Install gaseous agent containers and actuators</w:t>
      </w:r>
      <w:r>
        <w:fldChar w:fldCharType="end"/>
      </w:r>
    </w:p>
    <w:p w:rsidR="00F7287A" w:rsidP="00F7287A">
      <w:pPr>
        <w:pStyle w:val="Version"/>
        <w:sectPr w:rsidSect="001004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0420" w:rsidP="00100420">
      <w:pPr>
        <w:pStyle w:val="SuperHeading"/>
      </w:pPr>
      <w:r w:rsidRPr="00100420">
        <w:t>CPPFES3045 Install gaseous agent containers and actuators</w:t>
      </w:r>
    </w:p>
    <w:p w:rsidR="00000000" w:rsidRPr="00100420" w:rsidP="00100420">
      <w:pPr>
        <w:pStyle w:val="Heading1"/>
      </w:pPr>
      <w:bookmarkStart w:id="1" w:name="O_1163778"/>
      <w:bookmarkEnd w:id="1"/>
      <w:r w:rsidRPr="00100420">
        <w:t>Modification History</w:t>
      </w:r>
    </w:p>
    <w:tbl>
      <w:tblPr>
        <w:tblW w:w="0" w:type="auto"/>
        <w:tblLayout w:type="fixed"/>
        <w:tblCellMar>
          <w:left w:w="62" w:type="dxa"/>
          <w:right w:w="62" w:type="dxa"/>
        </w:tblCellMar>
        <w:tblLook w:val="0000"/>
      </w:tblPr>
      <w:tblGrid>
        <w:gridCol w:w="1305"/>
        <w:gridCol w:w="7597"/>
      </w:tblGrid>
      <w:tr w:rsidTr="00100420">
        <w:tblPrEx>
          <w:tblW w:w="0" w:type="auto"/>
          <w:tblLayout w:type="fixed"/>
          <w:tblCellMar>
            <w:left w:w="62" w:type="dxa"/>
            <w:right w:w="62" w:type="dxa"/>
          </w:tblCellMar>
          <w:tblLook w:val="0000"/>
        </w:tblPrEx>
        <w:tc>
          <w:tcPr>
            <w:tcW w:w="1305"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Release 1</w:t>
            </w:r>
          </w:p>
        </w:tc>
        <w:tc>
          <w:tcPr>
            <w:tcW w:w="7597" w:type="dxa"/>
            <w:tcBorders>
              <w:top w:val="nil"/>
              <w:left w:val="nil"/>
              <w:bottom w:val="nil"/>
              <w:right w:val="nil"/>
            </w:tcBorders>
            <w:tcMar>
              <w:top w:w="0" w:type="dxa"/>
              <w:left w:w="62" w:type="dxa"/>
              <w:bottom w:w="0" w:type="dxa"/>
              <w:right w:w="62" w:type="dxa"/>
            </w:tcMar>
          </w:tcPr>
          <w:p w:rsidR="00000000" w:rsidRPr="00100420" w:rsidP="00100420">
            <w:pPr>
              <w:pStyle w:val="BodyText"/>
            </w:pPr>
            <w:r w:rsidRPr="00100420">
              <w:t>This version first released with CPP Property Services Training Package Release 13.0.</w:t>
            </w:r>
          </w:p>
          <w:p w:rsidR="00000000" w:rsidRPr="00100420" w:rsidP="00100420">
            <w:pPr>
              <w:pStyle w:val="BodyText"/>
            </w:pPr>
            <w:r w:rsidRPr="00100420">
              <w:t>Supersedes and is equivalent to CPPFES3045A Install gaseous agent containers and actuators.  Unit updated to meet the Sta</w:t>
            </w:r>
            <w:r w:rsidRPr="00100420">
              <w:t>ndards for Training Packages 2012.</w:t>
            </w:r>
          </w:p>
        </w:tc>
      </w:tr>
    </w:tbl>
    <w:p w:rsidR="00000000" w:rsidRPr="00100420" w:rsidP="00100420">
      <w:pPr>
        <w:pStyle w:val="BodyText"/>
      </w:pPr>
    </w:p>
    <w:p w:rsidR="00000000" w:rsidRPr="00100420" w:rsidP="00100420">
      <w:pPr>
        <w:pStyle w:val="AllowPageBreak"/>
      </w:pPr>
    </w:p>
    <w:p w:rsidR="00000000" w:rsidRPr="00100420" w:rsidP="00100420">
      <w:pPr>
        <w:pStyle w:val="Heading1"/>
      </w:pPr>
      <w:bookmarkStart w:id="2" w:name="O_1163784"/>
      <w:bookmarkEnd w:id="2"/>
      <w:r w:rsidRPr="00100420">
        <w:t>Application</w:t>
      </w:r>
    </w:p>
    <w:p w:rsidR="00000000" w:rsidRPr="00100420" w:rsidP="00F7287A">
      <w:pPr>
        <w:pStyle w:val="BodyText"/>
      </w:pPr>
      <w:r w:rsidRPr="00100420">
        <w:t>This unit of competency specifies the skills and knowledge required to receive and install gaseous agent containers, manifold connections, actuators and activating mechanisms at client pre</w:t>
      </w:r>
      <w:r w:rsidRPr="00100420">
        <w:t>mises. Gaseous agent containers may contain extinguishing agents which are ozone depleting substances (ODS) and synthetic greenhouse gases (SGG).</w:t>
      </w:r>
    </w:p>
    <w:p w:rsidR="00000000" w:rsidRPr="00100420" w:rsidP="00F7287A">
      <w:pPr>
        <w:pStyle w:val="BodyText"/>
      </w:pPr>
      <w:r w:rsidRPr="00100420">
        <w:t xml:space="preserve">The unit does not cover any installation, maintenance, replacement or repair functions that are restricted to </w:t>
      </w:r>
      <w:r w:rsidRPr="00100420">
        <w:t>licensed trades or occupations.</w:t>
      </w:r>
    </w:p>
    <w:p w:rsidR="00000000" w:rsidRPr="00100420" w:rsidP="00F7287A">
      <w:pPr>
        <w:pStyle w:val="BodyText"/>
      </w:pPr>
      <w:r w:rsidRPr="00100420">
        <w:t>A person who has achieved this unit of competency would be expected to take responsibility for organising and completing these tasks with a high degree of self-direction.</w:t>
      </w:r>
    </w:p>
    <w:p w:rsidR="00000000" w:rsidRPr="00100420" w:rsidP="00F7287A">
      <w:pPr>
        <w:pStyle w:val="BodyText"/>
      </w:pPr>
      <w:r w:rsidRPr="00100420">
        <w:t>ODS and SGG are gaseous fire-extinguishing agents lis</w:t>
      </w:r>
      <w:r w:rsidRPr="00100420">
        <w:t xml:space="preserve">ted in Schedule 1 of the Ozone Protection and Synthetic Greenhouse Gas Management Act 1989 and by law, can only be handled by people who hold an appropriate extinguishing agent handling licence (EAHL). This unit supports one or more EAHLs prescribed under </w:t>
      </w:r>
      <w:r w:rsidRPr="00100420">
        <w:t>the Act. For further information, check with the relevant regulatory authority.</w:t>
      </w:r>
    </w:p>
    <w:p w:rsidR="00000000" w:rsidRPr="00100420" w:rsidP="00100420">
      <w:pPr>
        <w:pStyle w:val="Heading1"/>
      </w:pPr>
      <w:bookmarkStart w:id="3" w:name="O_1163783"/>
      <w:bookmarkEnd w:id="3"/>
      <w:r w:rsidRPr="00100420">
        <w:t>Pre-requisite Unit</w:t>
      </w:r>
    </w:p>
    <w:p w:rsidR="00000000" w:rsidRPr="00100420" w:rsidP="00F7287A">
      <w:pPr>
        <w:pStyle w:val="BodyText"/>
      </w:pPr>
      <w:r w:rsidRPr="00100420">
        <w:t>Nil.</w:t>
      </w:r>
    </w:p>
    <w:p w:rsidR="00000000" w:rsidRPr="00100420" w:rsidP="00100420">
      <w:pPr>
        <w:pStyle w:val="Heading1"/>
      </w:pPr>
      <w:bookmarkStart w:id="4" w:name="O_1163782"/>
      <w:bookmarkEnd w:id="4"/>
      <w:r w:rsidRPr="00100420">
        <w:t>Unit Sector</w:t>
      </w:r>
    </w:p>
    <w:p w:rsidR="00000000" w:rsidRPr="00100420" w:rsidP="00F7287A">
      <w:pPr>
        <w:pStyle w:val="BodyText"/>
      </w:pPr>
      <w:r w:rsidRPr="00100420">
        <w:t>Fire Protection Inspection and Testing</w:t>
      </w:r>
    </w:p>
    <w:p w:rsidR="00000000" w:rsidRPr="00100420" w:rsidP="00100420">
      <w:pPr>
        <w:pStyle w:val="Heading1"/>
      </w:pPr>
      <w:bookmarkStart w:id="5" w:name="O_1163781"/>
      <w:bookmarkEnd w:id="5"/>
      <w:r w:rsidRPr="0010042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0042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Performance criteria describe what needs to be done to demonstrate achievement of the element.</w:t>
            </w:r>
          </w:p>
        </w:tc>
      </w:tr>
      <w:tr w:rsidTr="0010042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1</w:t>
            </w:r>
          </w:p>
        </w:tc>
        <w:tc>
          <w:tcPr>
            <w:tcW w:w="2357" w:type="dxa"/>
            <w:vMerge w:val="restart"/>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 xml:space="preserve">Apply rules and regulations to </w:t>
            </w:r>
            <w:r w:rsidRPr="00100420">
              <w:t>installation operation.</w:t>
            </w:r>
          </w:p>
        </w:tc>
        <w:tc>
          <w:tcPr>
            <w:tcW w:w="804"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1.1</w:t>
            </w:r>
          </w:p>
        </w:tc>
        <w:tc>
          <w:tcPr>
            <w:tcW w:w="5659"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Interpret work instructions to clarify types of gaseous</w:t>
            </w:r>
            <w:r w:rsidRPr="00100420">
              <w:t xml:space="preserve"> agent containers and actuators to be installed, installation </w:t>
            </w:r>
            <w:r w:rsidRPr="00100420">
              <w:t>timeframes and site location.</w:t>
            </w:r>
          </w:p>
        </w:tc>
      </w:tr>
      <w:tr w:rsidTr="0010042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1.2</w:t>
            </w:r>
          </w:p>
        </w:tc>
        <w:tc>
          <w:tcPr>
            <w:tcW w:w="5659"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Discuss planned installation procedures with relevant persons to clarify client needs and expectations.</w:t>
            </w:r>
          </w:p>
        </w:tc>
      </w:tr>
      <w:tr w:rsidTr="0010042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1.3</w:t>
            </w:r>
          </w:p>
        </w:tc>
        <w:tc>
          <w:tcPr>
            <w:tcW w:w="5659"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Plan work activities to prevent ODS and S</w:t>
            </w:r>
            <w:r w:rsidRPr="00100420">
              <w:t>GG emissions and comply with relevant Australian Standards, ODS and SGG regulations, work health and safety (WHS) and workplace requirements.</w:t>
            </w:r>
          </w:p>
        </w:tc>
      </w:tr>
      <w:tr w:rsidTr="0010042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1.4</w:t>
            </w:r>
          </w:p>
        </w:tc>
        <w:tc>
          <w:tcPr>
            <w:tcW w:w="5659"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 xml:space="preserve">Identify potential and actual breaches of rules and regulations associated with work instructions and take </w:t>
            </w:r>
            <w:r w:rsidRPr="00100420">
              <w:t>required action to ensure compliance according to regulatory and workplace requirements.</w:t>
            </w:r>
          </w:p>
        </w:tc>
      </w:tr>
      <w:tr w:rsidTr="0010042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00420">
            <w:pPr>
              <w:pStyle w:val="BodyText"/>
              <w:rPr>
                <w:lang w:val="en-NZ"/>
              </w:rPr>
            </w:pPr>
          </w:p>
        </w:tc>
      </w:tr>
      <w:tr w:rsidTr="0010042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2</w:t>
            </w:r>
          </w:p>
        </w:tc>
        <w:tc>
          <w:tcPr>
            <w:tcW w:w="2357" w:type="dxa"/>
            <w:vMerge w:val="restart"/>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Receive system components.</w:t>
            </w:r>
          </w:p>
        </w:tc>
        <w:tc>
          <w:tcPr>
            <w:tcW w:w="804"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2.1</w:t>
            </w:r>
          </w:p>
        </w:tc>
        <w:tc>
          <w:tcPr>
            <w:tcW w:w="5659"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Check procurement details and specifications of system components and materials against final design documentation and installation drawings.</w:t>
            </w:r>
          </w:p>
        </w:tc>
      </w:tr>
      <w:tr w:rsidTr="0010042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2.2</w:t>
            </w:r>
          </w:p>
        </w:tc>
        <w:tc>
          <w:tcPr>
            <w:tcW w:w="5659"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Check pre-tested or prefabricated components to ensure they have correct documentation identifying complian</w:t>
            </w:r>
            <w:r w:rsidRPr="00100420">
              <w:t>ce with relevant Australian Standards.</w:t>
            </w:r>
          </w:p>
        </w:tc>
      </w:tr>
      <w:tr w:rsidTr="0010042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2.3</w:t>
            </w:r>
          </w:p>
        </w:tc>
        <w:tc>
          <w:tcPr>
            <w:tcW w:w="5659"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Conduct quality control checks of materials and components to confirm acceptable condition, and report or rectify identified defects according to workplace requirements.</w:t>
            </w:r>
          </w:p>
        </w:tc>
      </w:tr>
      <w:tr w:rsidTr="0010042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00420">
            <w:pPr>
              <w:pStyle w:val="BodyText"/>
              <w:rPr>
                <w:lang w:val="en-NZ"/>
              </w:rPr>
            </w:pPr>
          </w:p>
        </w:tc>
      </w:tr>
      <w:tr w:rsidTr="0010042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3</w:t>
            </w:r>
          </w:p>
        </w:tc>
        <w:tc>
          <w:tcPr>
            <w:tcW w:w="2357" w:type="dxa"/>
            <w:vMerge w:val="restart"/>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Prepare to install gaseous agent containers and actuators.</w:t>
            </w:r>
          </w:p>
        </w:tc>
        <w:tc>
          <w:tcPr>
            <w:tcW w:w="804"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3.1</w:t>
            </w:r>
          </w:p>
        </w:tc>
        <w:tc>
          <w:tcPr>
            <w:tcW w:w="5659"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Arrange access to worksite and communicate with responsible entity and affected persons to advise duration and impact of planned installation procedures.</w:t>
            </w:r>
          </w:p>
        </w:tc>
      </w:tr>
      <w:tr w:rsidTr="0010042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3.2</w:t>
            </w:r>
          </w:p>
        </w:tc>
        <w:tc>
          <w:tcPr>
            <w:tcW w:w="5659"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Identify and control hazards in the work area according to workplace requirements.</w:t>
            </w:r>
          </w:p>
        </w:tc>
      </w:tr>
      <w:tr w:rsidTr="0010042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3.3</w:t>
            </w:r>
          </w:p>
        </w:tc>
        <w:tc>
          <w:tcPr>
            <w:tcW w:w="5659"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Select and use required materials, tools and equipment, including personal protective equipment (PPE).</w:t>
            </w:r>
          </w:p>
        </w:tc>
      </w:tr>
      <w:tr w:rsidTr="0010042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3.4</w:t>
            </w:r>
          </w:p>
        </w:tc>
        <w:tc>
          <w:tcPr>
            <w:tcW w:w="5659"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Select and assemble required tools, equipment, materials</w:t>
            </w:r>
            <w:r w:rsidRPr="00100420">
              <w:t xml:space="preserve"> and hardware components at installation site according to workplace requirements.</w:t>
            </w:r>
          </w:p>
        </w:tc>
      </w:tr>
      <w:tr w:rsidTr="0010042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3.5</w:t>
            </w:r>
          </w:p>
        </w:tc>
        <w:tc>
          <w:tcPr>
            <w:tcW w:w="5659"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Check cylinders to ensure they contain correct quantities of extinguishing agent according to installation specifications.</w:t>
            </w:r>
          </w:p>
        </w:tc>
      </w:tr>
      <w:tr w:rsidTr="0010042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3.6</w:t>
            </w:r>
          </w:p>
        </w:tc>
        <w:tc>
          <w:tcPr>
            <w:tcW w:w="5659"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Conduct checks to confirm safety measures are in place prior to the installation process according to workplace requirements.</w:t>
            </w:r>
          </w:p>
        </w:tc>
      </w:tr>
      <w:tr w:rsidTr="0010042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00420">
            <w:pPr>
              <w:pStyle w:val="BodyText"/>
              <w:rPr>
                <w:lang w:val="en-NZ"/>
              </w:rPr>
            </w:pPr>
          </w:p>
        </w:tc>
      </w:tr>
      <w:tr w:rsidTr="0010042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4</w:t>
            </w:r>
          </w:p>
        </w:tc>
        <w:tc>
          <w:tcPr>
            <w:tcW w:w="2357" w:type="dxa"/>
            <w:vMerge w:val="restart"/>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Install gaseous agent containers and actuators.</w:t>
            </w:r>
          </w:p>
        </w:tc>
        <w:tc>
          <w:tcPr>
            <w:tcW w:w="804"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4.1</w:t>
            </w:r>
          </w:p>
        </w:tc>
        <w:tc>
          <w:tcPr>
            <w:tcW w:w="5659"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Fix support systems, components and fittings according to final design documentation and installation drawings.</w:t>
            </w:r>
          </w:p>
        </w:tc>
      </w:tr>
      <w:tr w:rsidTr="0010042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4.2</w:t>
            </w:r>
          </w:p>
        </w:tc>
        <w:tc>
          <w:tcPr>
            <w:tcW w:w="5659"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Support containers and fix support frame according to installation drawings and manufacturer requirements.</w:t>
            </w:r>
          </w:p>
        </w:tc>
      </w:tr>
      <w:tr w:rsidTr="0010042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4.3</w:t>
            </w:r>
          </w:p>
        </w:tc>
        <w:tc>
          <w:tcPr>
            <w:tcW w:w="5659"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Install container manifold and connection components according to manufacturer requirements.</w:t>
            </w:r>
          </w:p>
        </w:tc>
      </w:tr>
      <w:tr w:rsidTr="0010042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4.4</w:t>
            </w:r>
          </w:p>
        </w:tc>
        <w:tc>
          <w:tcPr>
            <w:tcW w:w="5659"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Remove transport caps, discharge outlet and actuator plugs or caps and locking devices according to manufacturer and workplace requirements.</w:t>
            </w:r>
          </w:p>
        </w:tc>
      </w:tr>
      <w:tr w:rsidTr="0010042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4.5</w:t>
            </w:r>
          </w:p>
        </w:tc>
        <w:tc>
          <w:tcPr>
            <w:tcW w:w="5659"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Physical</w:t>
            </w:r>
            <w:r w:rsidRPr="00100420">
              <w:t>ly check flexible hose connections to ensure they are tight and without kinks.</w:t>
            </w:r>
          </w:p>
        </w:tc>
      </w:tr>
      <w:tr w:rsidTr="0010042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4.6</w:t>
            </w:r>
          </w:p>
        </w:tc>
        <w:tc>
          <w:tcPr>
            <w:tcW w:w="5659"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Install manual and pneumatic actuators, pilot and slave tubes and fittings safely according to manufacturer and workplace requirements.</w:t>
            </w:r>
          </w:p>
        </w:tc>
      </w:tr>
      <w:tr w:rsidTr="0010042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4.7</w:t>
            </w:r>
          </w:p>
        </w:tc>
        <w:tc>
          <w:tcPr>
            <w:tcW w:w="5659"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Check pilot and slave tube connections to ensure they are tight and without kinks.</w:t>
            </w:r>
          </w:p>
        </w:tc>
      </w:tr>
      <w:tr w:rsidTr="0010042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4.8</w:t>
            </w:r>
          </w:p>
        </w:tc>
        <w:tc>
          <w:tcPr>
            <w:tcW w:w="5659"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Set actuators to operate according to manufacturer and regulatory requirements.</w:t>
            </w:r>
          </w:p>
        </w:tc>
      </w:tr>
      <w:tr w:rsidTr="0010042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00420">
            <w:pPr>
              <w:pStyle w:val="BodyText"/>
              <w:rPr>
                <w:lang w:val="en-NZ"/>
              </w:rPr>
            </w:pPr>
          </w:p>
        </w:tc>
      </w:tr>
      <w:tr w:rsidTr="0010042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5</w:t>
            </w:r>
          </w:p>
        </w:tc>
        <w:tc>
          <w:tcPr>
            <w:tcW w:w="2357" w:type="dxa"/>
            <w:vMerge w:val="restart"/>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Finalise installation operation.</w:t>
            </w:r>
          </w:p>
        </w:tc>
        <w:tc>
          <w:tcPr>
            <w:tcW w:w="804"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5.1</w:t>
            </w:r>
          </w:p>
        </w:tc>
        <w:tc>
          <w:tcPr>
            <w:tcW w:w="5659"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Complete installation documentation according to Australian Standards, manufacturer, regulatory and workplace requirements.</w:t>
            </w:r>
          </w:p>
        </w:tc>
      </w:tr>
      <w:tr w:rsidTr="0010042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5.2</w:t>
            </w:r>
          </w:p>
        </w:tc>
        <w:tc>
          <w:tcPr>
            <w:tcW w:w="5659"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Check tools and equipment for faults, wear or damage and rectify or report problems according to workplace requirements.</w:t>
            </w:r>
          </w:p>
        </w:tc>
      </w:tr>
      <w:tr w:rsidTr="0010042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5</w:t>
            </w:r>
            <w:r w:rsidRPr="00100420">
              <w:t>.3</w:t>
            </w:r>
          </w:p>
        </w:tc>
        <w:tc>
          <w:tcPr>
            <w:tcW w:w="5659" w:type="dxa"/>
            <w:tcBorders>
              <w:top w:val="nil"/>
              <w:left w:val="nil"/>
              <w:bottom w:val="nil"/>
              <w:right w:val="nil"/>
            </w:tcBorders>
            <w:tcMar>
              <w:top w:w="0" w:type="dxa"/>
              <w:left w:w="62" w:type="dxa"/>
              <w:bottom w:w="0" w:type="dxa"/>
              <w:right w:w="62" w:type="dxa"/>
            </w:tcMar>
          </w:tcPr>
          <w:p w:rsidR="00000000" w:rsidRPr="00100420" w:rsidP="00100420">
            <w:pPr>
              <w:pStyle w:val="BodyText"/>
            </w:pPr>
            <w:r w:rsidRPr="00100420">
              <w:t>Leave client premises in a clean and tidy condition.</w:t>
            </w:r>
          </w:p>
        </w:tc>
      </w:tr>
    </w:tbl>
    <w:p w:rsidR="00000000" w:rsidRPr="00100420" w:rsidP="00100420">
      <w:pPr>
        <w:pStyle w:val="BodyText"/>
      </w:pPr>
    </w:p>
    <w:p w:rsidR="00000000" w:rsidRPr="00100420" w:rsidP="00100420">
      <w:pPr>
        <w:pStyle w:val="AllowPageBreak"/>
      </w:pPr>
    </w:p>
    <w:p w:rsidR="00000000" w:rsidRPr="00100420" w:rsidP="00100420">
      <w:pPr>
        <w:pStyle w:val="Heading1"/>
      </w:pPr>
      <w:bookmarkStart w:id="6" w:name="O_1163780"/>
      <w:bookmarkEnd w:id="6"/>
      <w:r w:rsidRPr="00100420">
        <w:t>Foundation Skills</w:t>
      </w:r>
    </w:p>
    <w:p w:rsidR="00000000" w:rsidRPr="00100420" w:rsidP="00F7287A">
      <w:pPr>
        <w:pStyle w:val="BodyText"/>
      </w:pPr>
      <w:r w:rsidRPr="00100420">
        <w:t>Foundation skills essential to performance are explicit in the performance criteria of this unit of competency.</w:t>
      </w:r>
    </w:p>
    <w:p w:rsidR="00000000" w:rsidRPr="00100420" w:rsidP="00100420">
      <w:pPr>
        <w:pStyle w:val="Heading1"/>
      </w:pPr>
      <w:bookmarkStart w:id="7" w:name="O_1163779"/>
      <w:bookmarkEnd w:id="7"/>
      <w:r w:rsidRPr="00100420">
        <w:t>Unit Mapping Information</w:t>
      </w:r>
    </w:p>
    <w:p w:rsidR="00000000" w:rsidRPr="00100420" w:rsidP="00F7287A">
      <w:pPr>
        <w:pStyle w:val="BodyText"/>
      </w:pPr>
      <w:r w:rsidRPr="00100420">
        <w:t>Supersedes and is equivalent to CPPFES3045A Install gaseous agent containers and actuators.</w:t>
      </w:r>
    </w:p>
    <w:p w:rsidR="00000000" w:rsidRPr="00100420" w:rsidP="00100420">
      <w:pPr>
        <w:pStyle w:val="Heading1"/>
      </w:pPr>
      <w:bookmarkStart w:id="8" w:name="O_1163772"/>
      <w:bookmarkEnd w:id="8"/>
      <w:r w:rsidRPr="00100420">
        <w:t>Links</w:t>
      </w:r>
    </w:p>
    <w:p w:rsidR="00000000" w:rsidRPr="00100420" w:rsidP="00F7287A">
      <w:pPr>
        <w:pStyle w:val="BodyText"/>
      </w:pPr>
      <w:r w:rsidRPr="0010042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26495">
        <w:rPr>
          <w:rStyle w:val="Hyperlink"/>
        </w:rPr>
        <w:t>https://vetnet.gov.au/Pages/TrainingDocs.aspx?q=6f3f9672-30e8-4835-b348-205dfcf13d9b</w:t>
      </w:r>
      <w:r>
        <w:fldChar w:fldCharType="end"/>
      </w:r>
    </w:p>
    <w:p w:rsidR="00000000" w:rsidRPr="00100420" w:rsidP="00F7287A">
      <w:pPr>
        <w:pStyle w:val="BodyText"/>
        <w:sectPr w:rsidSect="00100420">
          <w:headerReference w:type="default" r:id="rId10"/>
          <w:footerReference w:type="default" r:id="rId11"/>
          <w:pgSz w:w="11908" w:h="16833"/>
          <w:pgMar w:top="1702" w:right="1418" w:bottom="1702" w:left="1418" w:header="992" w:footer="992" w:gutter="0"/>
          <w:cols w:space="720"/>
          <w:noEndnote/>
          <w:docGrid w:linePitch="299"/>
        </w:sectPr>
      </w:pPr>
    </w:p>
    <w:p w:rsidR="00000000" w:rsidRPr="00100420" w:rsidP="00100420">
      <w:pPr>
        <w:pStyle w:val="SuperHeading"/>
      </w:pPr>
      <w:r w:rsidRPr="00100420">
        <w:t>Assessment Requirements for CPPFES3045 Install gaseous agent containers and actuators</w:t>
      </w:r>
    </w:p>
    <w:p w:rsidR="00000000" w:rsidRPr="00100420" w:rsidP="00100420">
      <w:pPr>
        <w:pStyle w:val="Heading1"/>
      </w:pPr>
      <w:bookmarkStart w:id="9" w:name="O_1163774"/>
      <w:bookmarkEnd w:id="9"/>
      <w:r w:rsidRPr="00100420">
        <w:t>Modification History</w:t>
      </w:r>
    </w:p>
    <w:tbl>
      <w:tblPr>
        <w:tblW w:w="0" w:type="auto"/>
        <w:tblLayout w:type="fixed"/>
        <w:tblCellMar>
          <w:left w:w="62" w:type="dxa"/>
          <w:right w:w="62" w:type="dxa"/>
        </w:tblCellMar>
        <w:tblLook w:val="0000"/>
      </w:tblPr>
      <w:tblGrid>
        <w:gridCol w:w="1305"/>
        <w:gridCol w:w="7597"/>
      </w:tblGrid>
      <w:tr w:rsidTr="00100420">
        <w:tblPrEx>
          <w:tblW w:w="0" w:type="auto"/>
          <w:tblLayout w:type="fixed"/>
          <w:tblCellMar>
            <w:left w:w="62" w:type="dxa"/>
            <w:right w:w="62" w:type="dxa"/>
          </w:tblCellMar>
          <w:tblLook w:val="0000"/>
        </w:tblPrEx>
        <w:tc>
          <w:tcPr>
            <w:tcW w:w="1305" w:type="dxa"/>
            <w:tcBorders>
              <w:top w:val="nil"/>
              <w:left w:val="nil"/>
              <w:bottom w:val="nil"/>
              <w:right w:val="nil"/>
            </w:tcBorders>
            <w:tcMar>
              <w:top w:w="0" w:type="dxa"/>
              <w:left w:w="62" w:type="dxa"/>
              <w:bottom w:w="0" w:type="dxa"/>
              <w:right w:w="62" w:type="dxa"/>
            </w:tcMar>
          </w:tcPr>
          <w:p w:rsidR="00000000" w:rsidP="00100420">
            <w:pPr>
              <w:pStyle w:val="BodyText"/>
              <w:rPr>
                <w:lang w:val="en-NZ"/>
              </w:rPr>
            </w:pPr>
            <w:r w:rsidRPr="00100420">
              <w:t>Release 1</w:t>
            </w:r>
          </w:p>
        </w:tc>
        <w:tc>
          <w:tcPr>
            <w:tcW w:w="7597" w:type="dxa"/>
            <w:tcBorders>
              <w:top w:val="nil"/>
              <w:left w:val="nil"/>
              <w:bottom w:val="nil"/>
              <w:right w:val="nil"/>
            </w:tcBorders>
            <w:tcMar>
              <w:top w:w="0" w:type="dxa"/>
              <w:left w:w="62" w:type="dxa"/>
              <w:bottom w:w="0" w:type="dxa"/>
              <w:right w:w="62" w:type="dxa"/>
            </w:tcMar>
          </w:tcPr>
          <w:p w:rsidR="00000000" w:rsidRPr="00100420" w:rsidP="00100420">
            <w:pPr>
              <w:pStyle w:val="BodyText"/>
            </w:pPr>
            <w:r w:rsidRPr="00100420">
              <w:t>This version first released with CPP Property S</w:t>
            </w:r>
            <w:r w:rsidRPr="00100420">
              <w:t>ervices Training Package Release 13.0.</w:t>
            </w:r>
          </w:p>
          <w:p w:rsidR="00000000" w:rsidRPr="00100420" w:rsidP="00100420">
            <w:pPr>
              <w:pStyle w:val="BodyText"/>
            </w:pPr>
            <w:r w:rsidRPr="00100420">
              <w:t>Supersedes and is equivalent to CPPFES3045A Install gaseous agent containers and actuators.  Unit updated to meet the Standards for Training Packages 2012.</w:t>
            </w:r>
          </w:p>
        </w:tc>
      </w:tr>
    </w:tbl>
    <w:p w:rsidR="00000000" w:rsidRPr="00100420" w:rsidP="00100420">
      <w:pPr>
        <w:pStyle w:val="BodyText"/>
      </w:pPr>
    </w:p>
    <w:p w:rsidR="00000000" w:rsidRPr="00100420" w:rsidP="00100420">
      <w:pPr>
        <w:pStyle w:val="AllowPageBreak"/>
      </w:pPr>
    </w:p>
    <w:p w:rsidR="00000000" w:rsidRPr="00100420" w:rsidP="00100420">
      <w:pPr>
        <w:pStyle w:val="Heading1"/>
      </w:pPr>
      <w:bookmarkStart w:id="10" w:name="O_1163777"/>
      <w:bookmarkEnd w:id="10"/>
      <w:r w:rsidRPr="00100420">
        <w:t>Performance Evidence</w:t>
      </w:r>
    </w:p>
    <w:p w:rsidR="00000000" w:rsidRPr="00100420" w:rsidP="00F7287A">
      <w:pPr>
        <w:pStyle w:val="BodyText"/>
      </w:pPr>
      <w:r w:rsidRPr="00100420">
        <w:t>To demonstrate competency, a candidate must meet the elements and performance criteria of this unit by installing gaseous agent containers and actuators in two different settings.</w:t>
      </w:r>
    </w:p>
    <w:p w:rsidR="00000000" w:rsidRPr="00100420" w:rsidP="00100420">
      <w:pPr>
        <w:pStyle w:val="Heading1"/>
      </w:pPr>
      <w:bookmarkStart w:id="11" w:name="O_1163776"/>
      <w:bookmarkEnd w:id="11"/>
      <w:r w:rsidRPr="00100420">
        <w:t>Knowledge Evidence</w:t>
      </w:r>
    </w:p>
    <w:p w:rsidR="00000000" w:rsidRPr="00100420" w:rsidP="00F7287A">
      <w:pPr>
        <w:pStyle w:val="BodyText"/>
      </w:pPr>
      <w:r w:rsidRPr="00100420">
        <w:t>To be competent in this unit, a candid</w:t>
      </w:r>
      <w:r w:rsidRPr="00100420">
        <w:t>ate must demonstrate knowledge of:</w:t>
      </w:r>
    </w:p>
    <w:p w:rsidR="00000000" w:rsidRPr="00100420" w:rsidP="00100420">
      <w:pPr>
        <w:pStyle w:val="ListBullet"/>
      </w:pPr>
      <w:r w:rsidRPr="00100420">
        <w:t>action to take when a breach of work health and safety (WHS), ozone depleting substances (ODS) and synthetic greenhouse gases (SGG) regulation or other policy occurs when installing gaseous agent containers and actuators</w:t>
      </w:r>
    </w:p>
    <w:p w:rsidR="00000000" w:rsidRPr="00100420" w:rsidP="00100420">
      <w:pPr>
        <w:pStyle w:val="ListBullet"/>
      </w:pPr>
      <w:r w:rsidRPr="00100420">
        <w:t>implications of not complying with regulatory requirements when installing gaseous agent containers and actuators</w:t>
      </w:r>
    </w:p>
    <w:p w:rsidR="00000000" w:rsidRPr="00100420" w:rsidP="00100420">
      <w:pPr>
        <w:pStyle w:val="ListBullet"/>
      </w:pPr>
      <w:r w:rsidRPr="00100420">
        <w:t>key features of legislation, regulations, codes and Australian Standards relevant to installing gaseous agent containers and actuators:</w:t>
      </w:r>
    </w:p>
    <w:p w:rsidR="00000000" w:rsidRPr="00100420" w:rsidP="00100420">
      <w:pPr>
        <w:pStyle w:val="ListBullet2"/>
      </w:pPr>
      <w:r w:rsidRPr="00100420">
        <w:t>envi</w:t>
      </w:r>
      <w:r w:rsidRPr="00100420">
        <w:t>ronmental protection</w:t>
      </w:r>
    </w:p>
    <w:p w:rsidR="00000000" w:rsidRPr="00100420" w:rsidP="00100420">
      <w:pPr>
        <w:pStyle w:val="ListBullet2"/>
      </w:pPr>
      <w:r w:rsidRPr="00100420">
        <w:t>extinguishing agent handling licence (EAHL) requirements</w:t>
      </w:r>
    </w:p>
    <w:p w:rsidR="00000000" w:rsidRPr="00100420" w:rsidP="00100420">
      <w:pPr>
        <w:pStyle w:val="ListBullet2"/>
      </w:pPr>
      <w:r w:rsidRPr="00100420">
        <w:t>intent of the Australian Standard for the maintenance of fire protection systems and equipment in relation to the installation of gaseous agent containers and actuators</w:t>
      </w:r>
    </w:p>
    <w:p w:rsidR="00000000" w:rsidRPr="00100420" w:rsidP="00100420">
      <w:pPr>
        <w:pStyle w:val="ListBullet2"/>
      </w:pPr>
      <w:r w:rsidRPr="00100420">
        <w:t xml:space="preserve">National </w:t>
      </w:r>
      <w:r w:rsidRPr="00100420">
        <w:t>Construction Code (NCC) and deemed-to-satisfy requirements</w:t>
      </w:r>
    </w:p>
    <w:p w:rsidR="00000000" w:rsidRPr="00100420" w:rsidP="00100420">
      <w:pPr>
        <w:pStyle w:val="ListBullet2"/>
      </w:pPr>
      <w:r w:rsidRPr="00100420">
        <w:t>records and documentation</w:t>
      </w:r>
    </w:p>
    <w:p w:rsidR="00000000" w:rsidRPr="00100420" w:rsidP="00100420">
      <w:pPr>
        <w:pStyle w:val="ListBullet"/>
      </w:pPr>
      <w:r w:rsidRPr="00100420">
        <w:t>methods and reasons for preventing ODS and SGG emissions</w:t>
      </w:r>
    </w:p>
    <w:p w:rsidR="00000000" w:rsidRPr="00100420" w:rsidP="00100420">
      <w:pPr>
        <w:pStyle w:val="ListBullet"/>
      </w:pPr>
      <w:r w:rsidRPr="00100420">
        <w:t>methods for commissioning installed gaseous agent containers and actuators</w:t>
      </w:r>
    </w:p>
    <w:p w:rsidR="00000000" w:rsidRPr="00100420" w:rsidP="00100420">
      <w:pPr>
        <w:pStyle w:val="ListBullet"/>
      </w:pPr>
      <w:r w:rsidRPr="00100420">
        <w:t>operating principles of actuators, activating mechanisms, discharge valve assembly and manifold connection components</w:t>
      </w:r>
    </w:p>
    <w:p w:rsidR="00000000" w:rsidRPr="00100420" w:rsidP="00100420">
      <w:pPr>
        <w:pStyle w:val="ListBullet"/>
      </w:pPr>
      <w:r w:rsidRPr="00100420">
        <w:t>purpose of auxiliary shutdown fire system and equipment</w:t>
      </w:r>
    </w:p>
    <w:p w:rsidR="00000000" w:rsidRPr="00100420" w:rsidP="00100420">
      <w:pPr>
        <w:pStyle w:val="ListBullet"/>
      </w:pPr>
      <w:r w:rsidRPr="00100420">
        <w:t>purpose of safety devices and transport caps</w:t>
      </w:r>
    </w:p>
    <w:p w:rsidR="00000000" w:rsidRPr="00100420" w:rsidP="00100420">
      <w:pPr>
        <w:pStyle w:val="ListBullet"/>
      </w:pPr>
      <w:r w:rsidRPr="00100420">
        <w:t>types and purpose of electrical safeg</w:t>
      </w:r>
      <w:r w:rsidRPr="00100420">
        <w:t>uards used to protect persons and property when installing gaseous agent containers and actuators</w:t>
      </w:r>
    </w:p>
    <w:p w:rsidR="00000000" w:rsidRPr="00100420" w:rsidP="00100420">
      <w:pPr>
        <w:pStyle w:val="ListBullet"/>
      </w:pPr>
      <w:r w:rsidRPr="00100420">
        <w:t>types and purpose of system components and materials used when installing gaseous agent containers and actuators</w:t>
      </w:r>
    </w:p>
    <w:p w:rsidR="00000000" w:rsidRPr="00100420" w:rsidP="00100420">
      <w:pPr>
        <w:pStyle w:val="ListBullet"/>
      </w:pPr>
      <w:r w:rsidRPr="00100420">
        <w:t>types and purpose of tools, equipment and mat</w:t>
      </w:r>
      <w:r w:rsidRPr="00100420">
        <w:t>erials used when installing gaseous agent containers and actuators:</w:t>
      </w:r>
    </w:p>
    <w:p w:rsidR="00000000" w:rsidRPr="00100420" w:rsidP="00100420">
      <w:pPr>
        <w:pStyle w:val="ListBullet2"/>
      </w:pPr>
      <w:r w:rsidRPr="00100420">
        <w:t>gas leakage test equipment</w:t>
      </w:r>
    </w:p>
    <w:p w:rsidR="00000000" w:rsidRPr="00100420" w:rsidP="00100420">
      <w:pPr>
        <w:pStyle w:val="ListBullet2"/>
      </w:pPr>
      <w:r w:rsidRPr="00100420">
        <w:t>manual-handling aids for transporting containers</w:t>
      </w:r>
    </w:p>
    <w:p w:rsidR="00000000" w:rsidRPr="00100420" w:rsidP="00100420">
      <w:pPr>
        <w:pStyle w:val="ListBullet2"/>
      </w:pPr>
      <w:r w:rsidRPr="00100420">
        <w:t>personal protective equipment (PPE)</w:t>
      </w:r>
    </w:p>
    <w:p w:rsidR="00000000" w:rsidRPr="00100420" w:rsidP="00100420">
      <w:pPr>
        <w:pStyle w:val="ListBullet2"/>
      </w:pPr>
      <w:r w:rsidRPr="00100420">
        <w:t>plumbing-related hand tools, such as shifters and Stillsons</w:t>
      </w:r>
    </w:p>
    <w:p w:rsidR="00000000" w:rsidRPr="00100420" w:rsidP="00100420">
      <w:pPr>
        <w:pStyle w:val="ListBullet2"/>
      </w:pPr>
      <w:r w:rsidRPr="00100420">
        <w:t>power tools: battery-powered drills and hammer drills</w:t>
      </w:r>
    </w:p>
    <w:p w:rsidR="00000000" w:rsidRPr="00100420" w:rsidP="00100420">
      <w:pPr>
        <w:pStyle w:val="ListBullet2"/>
      </w:pPr>
      <w:r w:rsidRPr="00100420">
        <w:t>scales</w:t>
      </w:r>
    </w:p>
    <w:p w:rsidR="00000000" w:rsidRPr="00100420" w:rsidP="00100420">
      <w:pPr>
        <w:pStyle w:val="ListBullet"/>
      </w:pPr>
      <w:r w:rsidRPr="00100420">
        <w:t>workplace requirements for installing gaseous agent containers and actuators:</w:t>
      </w:r>
    </w:p>
    <w:p w:rsidR="00000000" w:rsidRPr="00100420" w:rsidP="00100420">
      <w:pPr>
        <w:pStyle w:val="ListBullet2"/>
      </w:pPr>
      <w:r w:rsidRPr="00100420">
        <w:t>maintenance of tools and equipment</w:t>
      </w:r>
    </w:p>
    <w:p w:rsidR="00000000" w:rsidRPr="00100420" w:rsidP="00100420">
      <w:pPr>
        <w:pStyle w:val="ListBullet2"/>
      </w:pPr>
      <w:r w:rsidRPr="00100420">
        <w:t>quality</w:t>
      </w:r>
    </w:p>
    <w:p w:rsidR="00000000" w:rsidRPr="00100420" w:rsidP="00100420">
      <w:pPr>
        <w:pStyle w:val="ListBullet2"/>
      </w:pPr>
      <w:r w:rsidRPr="00100420">
        <w:t>WHS, including hazard and risk identification and control.</w:t>
      </w:r>
    </w:p>
    <w:p w:rsidR="00000000" w:rsidRPr="00100420" w:rsidP="00100420">
      <w:pPr>
        <w:pStyle w:val="AllowPageBreak"/>
      </w:pPr>
    </w:p>
    <w:p w:rsidR="00000000" w:rsidRPr="00100420" w:rsidP="00100420">
      <w:pPr>
        <w:pStyle w:val="Heading1"/>
      </w:pPr>
      <w:bookmarkStart w:id="12" w:name="O_1163775"/>
      <w:bookmarkEnd w:id="12"/>
      <w:r w:rsidRPr="00100420">
        <w:t>Assessment Conditions</w:t>
      </w:r>
    </w:p>
    <w:p w:rsidR="00000000" w:rsidRPr="00100420" w:rsidP="00F7287A">
      <w:pPr>
        <w:pStyle w:val="BodyText"/>
      </w:pPr>
      <w:r w:rsidRPr="00100420">
        <w:t xml:space="preserve">Assessors must meet the requirements for assessors contained in the Standards for Registered Training Organisations. </w:t>
      </w:r>
    </w:p>
    <w:p w:rsidR="00000000" w:rsidRPr="00100420" w:rsidP="00F7287A">
      <w:pPr>
        <w:pStyle w:val="BodyText"/>
      </w:pPr>
      <w:r w:rsidRPr="00100420">
        <w:t xml:space="preserve">Assessment must be conducted in the workplace or a simulated workplace using realistic conditions, materials, </w:t>
      </w:r>
      <w:r w:rsidRPr="00100420">
        <w:t>activities, responsibilities, procedures, safety requirements and environmental considerations.</w:t>
      </w:r>
    </w:p>
    <w:p w:rsidR="00000000" w:rsidRPr="00100420" w:rsidP="00F7287A">
      <w:pPr>
        <w:pStyle w:val="BodyText"/>
      </w:pPr>
      <w:r w:rsidRPr="00100420">
        <w:t>Candidates must have access to installation drawings and documentation, materials, tools, equipment, gaseous agent containers and actuators and installation sit</w:t>
      </w:r>
      <w:r w:rsidRPr="00100420">
        <w:t>es required to achieve the performance evidence.</w:t>
      </w:r>
    </w:p>
    <w:p w:rsidR="00000000" w:rsidRPr="00100420" w:rsidP="00100420">
      <w:pPr>
        <w:pStyle w:val="Heading1"/>
      </w:pPr>
      <w:bookmarkStart w:id="13" w:name="O_1163773"/>
      <w:bookmarkEnd w:id="13"/>
      <w:r w:rsidRPr="00100420">
        <w:t>Links</w:t>
      </w:r>
    </w:p>
    <w:p w:rsidR="00000000" w:rsidRPr="00100420" w:rsidP="00F7287A">
      <w:pPr>
        <w:pStyle w:val="BodyText"/>
      </w:pPr>
      <w:r w:rsidRPr="0010042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26495">
        <w:rPr>
          <w:rStyle w:val="Hyperlink"/>
        </w:rPr>
        <w:t>https://vetnet.gov.au/Pages/TrainingDocs.aspx?q=6f3f9672-30e8-4835-b348-205dfcf13d9b</w:t>
      </w:r>
      <w:r>
        <w:fldChar w:fldCharType="end"/>
      </w:r>
    </w:p>
    <w:p w:rsidR="00000000" w:rsidRPr="00100420" w:rsidP="00100420"/>
    <w:sectPr w:rsidSect="001004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4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420" w:rsidRPr="00F7287A" w:rsidP="00F728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4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87A" w:rsidP="001004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7287A" w:rsidP="001004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7287A" w:rsidP="001004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420" w:rsidP="00100420">
    <w:pPr>
      <w:pStyle w:val="Footer"/>
      <w:framePr w:wrap="around"/>
    </w:pPr>
    <w:r>
      <w:fldChar w:fldCharType="begin"/>
    </w:r>
    <w:r>
      <w:instrText xml:space="preserve"> DOCPROPERTY  Subject  \* MERGEFORMAT </w:instrText>
    </w:r>
    <w:r>
      <w:fldChar w:fldCharType="separate"/>
    </w:r>
    <w:r w:rsidR="00F7287A">
      <w:t>Approved</w:t>
    </w:r>
    <w:r w:rsidR="00F7287A">
      <w:fldChar w:fldCharType="end"/>
    </w:r>
    <w:r>
      <w:tab/>
      <w:t xml:space="preserve">Page </w:t>
    </w:r>
    <w:r>
      <w:fldChar w:fldCharType="begin"/>
    </w:r>
    <w:r>
      <w:instrText xml:space="preserve"> PAGE  \* Arabic  \* MERGEFORMAT </w:instrText>
    </w:r>
    <w:r>
      <w:fldChar w:fldCharType="separate"/>
    </w:r>
    <w:r w:rsidR="00F728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287A">
      <w:rPr>
        <w:noProof/>
      </w:rPr>
      <w:t>5</w:t>
    </w:r>
    <w:r>
      <w:rPr>
        <w:noProof/>
      </w:rPr>
      <w:fldChar w:fldCharType="end"/>
    </w:r>
  </w:p>
  <w:p w:rsidR="00100420" w:rsidP="00100420">
    <w:pPr>
      <w:pStyle w:val="Footer"/>
      <w:framePr w:wrap="around"/>
    </w:pPr>
    <w:r>
      <w:t xml:space="preserve">© Commonwealth of Australia, </w:t>
    </w:r>
    <w:r>
      <w:fldChar w:fldCharType="begin"/>
    </w:r>
    <w:r>
      <w:instrText xml:space="preserve"> DATE  \@ "yyyy"  \* MERGEFORMAT </w:instrText>
    </w:r>
    <w:r>
      <w:fldChar w:fldCharType="separate"/>
    </w:r>
    <w:r w:rsidR="00F7287A">
      <w:rPr>
        <w:noProof/>
      </w:rPr>
      <w:t>2025</w:t>
    </w:r>
    <w:r>
      <w:fldChar w:fldCharType="end"/>
    </w:r>
    <w:r>
      <w:tab/>
    </w:r>
    <w:r>
      <w:fldChar w:fldCharType="begin"/>
    </w:r>
    <w:r>
      <w:instrText xml:space="preserve"> DOCPROPERTY  Author  \* MERGEFORMAT </w:instrText>
    </w:r>
    <w:r>
      <w:fldChar w:fldCharType="separate"/>
    </w:r>
    <w:r w:rsidR="00F7287A">
      <w:t>BuildSkills Australia</w:t>
    </w:r>
    <w:r w:rsidR="00F7287A">
      <w:fldChar w:fldCharType="end"/>
    </w:r>
  </w:p>
  <w:p w:rsidR="00100420" w:rsidP="001004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4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8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0420" w:rsidRPr="00F7287A" w:rsidP="00F728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4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87A" w:rsidRPr="002D2AF8" w:rsidP="00100420">
    <w:pPr>
      <w:pStyle w:val="Header"/>
      <w:framePr w:wrap="around"/>
    </w:pPr>
    <w:r>
      <w:fldChar w:fldCharType="begin"/>
    </w:r>
    <w:r>
      <w:instrText xml:space="preserve"> TITLE   \* MERGEFORMAT </w:instrText>
    </w:r>
    <w:r>
      <w:fldChar w:fldCharType="separate"/>
    </w:r>
    <w:r>
      <w:t>CPPFES3045 Install gaseous agent containers and actuators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287A" w:rsidP="001004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420" w:rsidRPr="002D2AF8" w:rsidP="00100420">
    <w:pPr>
      <w:pStyle w:val="Header"/>
      <w:framePr w:wrap="around"/>
    </w:pPr>
    <w:r>
      <w:fldChar w:fldCharType="begin"/>
    </w:r>
    <w:r>
      <w:instrText xml:space="preserve"> TITLE   \* MERGEFORMAT </w:instrText>
    </w:r>
    <w:r>
      <w:fldChar w:fldCharType="separate"/>
    </w:r>
    <w:r w:rsidR="00F7287A">
      <w:t>CPPFES3045 Install gaseous agent containers and actuators</w:t>
    </w:r>
    <w:r w:rsidR="00F7287A">
      <w:fldChar w:fldCharType="end"/>
    </w:r>
    <w:r>
      <w:tab/>
      <w:t xml:space="preserve">Date this document was generated: </w:t>
    </w:r>
    <w:r>
      <w:fldChar w:fldCharType="begin"/>
    </w:r>
    <w:r>
      <w:instrText xml:space="preserve"> CREATEDATE  \@ "d MMMM yyyy"  \* MERGEFORMAT </w:instrText>
    </w:r>
    <w:r>
      <w:fldChar w:fldCharType="separate"/>
    </w:r>
    <w:r w:rsidR="00F7287A">
      <w:rPr>
        <w:noProof/>
      </w:rPr>
      <w:t>2 March 2025</w:t>
    </w:r>
    <w:r>
      <w:fldChar w:fldCharType="end"/>
    </w:r>
  </w:p>
  <w:p w:rsidR="00100420" w:rsidP="001004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D425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306F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8646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4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0420"/>
    <w:pPr>
      <w:spacing w:before="360" w:after="60"/>
      <w:outlineLvl w:val="0"/>
    </w:pPr>
    <w:rPr>
      <w:sz w:val="32"/>
    </w:rPr>
  </w:style>
  <w:style w:type="paragraph" w:styleId="Heading2">
    <w:name w:val="heading 2"/>
    <w:basedOn w:val="HeadingBase"/>
    <w:next w:val="BodyText"/>
    <w:link w:val="Heading2Char"/>
    <w:qFormat/>
    <w:rsid w:val="00100420"/>
    <w:pPr>
      <w:keepLines/>
      <w:spacing w:before="240" w:after="120"/>
      <w:outlineLvl w:val="1"/>
    </w:pPr>
    <w:rPr>
      <w:sz w:val="28"/>
      <w:szCs w:val="40"/>
    </w:rPr>
  </w:style>
  <w:style w:type="paragraph" w:styleId="Heading3">
    <w:name w:val="heading 3"/>
    <w:basedOn w:val="HeadingBase"/>
    <w:next w:val="BodyText"/>
    <w:link w:val="Heading3Char"/>
    <w:qFormat/>
    <w:rsid w:val="00100420"/>
    <w:pPr>
      <w:spacing w:before="180" w:after="120"/>
      <w:outlineLvl w:val="2"/>
    </w:pPr>
    <w:rPr>
      <w:spacing w:val="-10"/>
      <w:kern w:val="32"/>
    </w:rPr>
  </w:style>
  <w:style w:type="paragraph" w:styleId="Heading4">
    <w:name w:val="heading 4"/>
    <w:basedOn w:val="HeadingBase"/>
    <w:next w:val="BodyText"/>
    <w:link w:val="Heading4Char"/>
    <w:qFormat/>
    <w:rsid w:val="00100420"/>
    <w:pPr>
      <w:spacing w:before="160" w:after="120"/>
      <w:outlineLvl w:val="3"/>
    </w:pPr>
    <w:rPr>
      <w:sz w:val="22"/>
    </w:rPr>
  </w:style>
  <w:style w:type="paragraph" w:styleId="Heading5">
    <w:name w:val="heading 5"/>
    <w:basedOn w:val="HeadingBase"/>
    <w:next w:val="Normal"/>
    <w:link w:val="Heading5Char"/>
    <w:qFormat/>
    <w:rsid w:val="00100420"/>
    <w:pPr>
      <w:spacing w:before="80"/>
      <w:outlineLvl w:val="4"/>
    </w:pPr>
    <w:rPr>
      <w:color w:val="918585"/>
      <w:sz w:val="20"/>
    </w:rPr>
  </w:style>
  <w:style w:type="paragraph" w:styleId="Heading6">
    <w:name w:val="heading 6"/>
    <w:basedOn w:val="HeadingBase"/>
    <w:next w:val="Normal"/>
    <w:link w:val="Heading6Char"/>
    <w:qFormat/>
    <w:rsid w:val="00100420"/>
    <w:pPr>
      <w:spacing w:before="60"/>
      <w:outlineLvl w:val="5"/>
    </w:pPr>
    <w:rPr>
      <w:color w:val="918585"/>
      <w:sz w:val="20"/>
    </w:rPr>
  </w:style>
  <w:style w:type="paragraph" w:styleId="Heading7">
    <w:name w:val="heading 7"/>
    <w:basedOn w:val="Normal"/>
    <w:next w:val="Normal"/>
    <w:link w:val="Heading7Char"/>
    <w:qFormat/>
    <w:rsid w:val="00100420"/>
    <w:pPr>
      <w:ind w:left="720"/>
      <w:outlineLvl w:val="6"/>
    </w:pPr>
    <w:rPr>
      <w:i/>
    </w:rPr>
  </w:style>
  <w:style w:type="paragraph" w:styleId="Heading8">
    <w:name w:val="heading 8"/>
    <w:basedOn w:val="Normal"/>
    <w:next w:val="Normal"/>
    <w:link w:val="Heading8Char"/>
    <w:qFormat/>
    <w:rsid w:val="00100420"/>
    <w:pPr>
      <w:ind w:left="720"/>
      <w:outlineLvl w:val="7"/>
    </w:pPr>
    <w:rPr>
      <w:i/>
    </w:rPr>
  </w:style>
  <w:style w:type="paragraph" w:styleId="Heading9">
    <w:name w:val="heading 9"/>
    <w:basedOn w:val="Normal"/>
    <w:next w:val="Normal"/>
    <w:link w:val="Heading9Char"/>
    <w:qFormat/>
    <w:rsid w:val="00100420"/>
    <w:pPr>
      <w:ind w:left="720"/>
      <w:outlineLvl w:val="8"/>
    </w:pPr>
    <w:rPr>
      <w:i/>
    </w:rPr>
  </w:style>
  <w:style w:type="character" w:default="1" w:styleId="DefaultParagraphFont">
    <w:name w:val="Default Paragraph Font"/>
    <w:uiPriority w:val="1"/>
    <w:unhideWhenUsed/>
    <w:rsid w:val="001004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0420"/>
  </w:style>
  <w:style w:type="character" w:customStyle="1" w:styleId="Heading1Char">
    <w:name w:val="Heading 1 Char"/>
    <w:basedOn w:val="DefaultParagraphFont"/>
    <w:link w:val="Heading1"/>
    <w:rsid w:val="00100420"/>
    <w:rPr>
      <w:rFonts w:ascii="Times New Roman" w:eastAsia="Times New Roman" w:hAnsi="Times New Roman" w:cs="Times New Roman"/>
      <w:b/>
      <w:sz w:val="32"/>
      <w:szCs w:val="20"/>
      <w:lang w:eastAsia="en-US"/>
    </w:rPr>
  </w:style>
  <w:style w:type="paragraph" w:styleId="BodyText">
    <w:name w:val="Body Text"/>
    <w:basedOn w:val="Normal"/>
    <w:link w:val="BodyTextChar"/>
    <w:rsid w:val="001004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0420"/>
    <w:rPr>
      <w:rFonts w:ascii="Times New Roman" w:eastAsia="Times New Roman" w:hAnsi="Times New Roman" w:cs="Times New Roman"/>
      <w:sz w:val="24"/>
      <w:lang w:eastAsia="en-US"/>
    </w:rPr>
  </w:style>
  <w:style w:type="paragraph" w:styleId="ListBullet">
    <w:name w:val="List Bullet"/>
    <w:basedOn w:val="List"/>
    <w:rsid w:val="00100420"/>
    <w:pPr>
      <w:numPr>
        <w:numId w:val="12"/>
      </w:numPr>
      <w:tabs>
        <w:tab w:val="clear" w:pos="340"/>
      </w:tabs>
      <w:spacing w:before="40" w:after="40"/>
    </w:pPr>
  </w:style>
  <w:style w:type="paragraph" w:styleId="ListBullet2">
    <w:name w:val="List Bullet 2"/>
    <w:basedOn w:val="List2"/>
    <w:rsid w:val="00100420"/>
    <w:pPr>
      <w:numPr>
        <w:numId w:val="13"/>
      </w:numPr>
      <w:tabs>
        <w:tab w:val="clear" w:pos="680"/>
      </w:tabs>
    </w:pPr>
  </w:style>
  <w:style w:type="paragraph" w:customStyle="1" w:styleId="SuperHeading">
    <w:name w:val="SuperHeading"/>
    <w:basedOn w:val="Normal"/>
    <w:rsid w:val="00100420"/>
    <w:pPr>
      <w:spacing w:before="240" w:after="120"/>
      <w:outlineLvl w:val="0"/>
    </w:pPr>
    <w:rPr>
      <w:rFonts w:ascii="Times New Roman" w:hAnsi="Times New Roman"/>
      <w:b/>
      <w:sz w:val="32"/>
    </w:rPr>
  </w:style>
  <w:style w:type="paragraph" w:customStyle="1" w:styleId="AllowPageBreak">
    <w:name w:val="AllowPageBreak"/>
    <w:rsid w:val="001004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04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04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04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04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04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04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04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0420"/>
    <w:rPr>
      <w:rFonts w:ascii="Courier New" w:eastAsia="Times New Roman" w:hAnsi="Courier New" w:cs="Times New Roman"/>
      <w:i/>
      <w:szCs w:val="20"/>
      <w:lang w:eastAsia="en-US"/>
    </w:rPr>
  </w:style>
  <w:style w:type="paragraph" w:customStyle="1" w:styleId="HeadingBase">
    <w:name w:val="Heading Base"/>
    <w:rsid w:val="001004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0420"/>
    <w:pPr>
      <w:tabs>
        <w:tab w:val="right" w:leader="dot" w:pos="9072"/>
      </w:tabs>
      <w:ind w:left="567"/>
    </w:pPr>
    <w:rPr>
      <w:szCs w:val="22"/>
    </w:rPr>
  </w:style>
  <w:style w:type="paragraph" w:customStyle="1" w:styleId="TOCBase">
    <w:name w:val="TOC Base"/>
    <w:rsid w:val="001004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0420"/>
    <w:pPr>
      <w:tabs>
        <w:tab w:val="right" w:leader="dot" w:pos="9072"/>
      </w:tabs>
      <w:spacing w:before="40" w:after="40"/>
      <w:ind w:left="284"/>
    </w:pPr>
    <w:rPr>
      <w:rFonts w:ascii="Times New Roman" w:hAnsi="Times New Roman"/>
    </w:rPr>
  </w:style>
  <w:style w:type="paragraph" w:styleId="TOC1">
    <w:name w:val="toc 1"/>
    <w:basedOn w:val="TOCBase"/>
    <w:next w:val="Normal"/>
    <w:rsid w:val="001004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04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0420"/>
    <w:rPr>
      <w:rFonts w:ascii="Times New Roman" w:eastAsia="Times New Roman" w:hAnsi="Times New Roman" w:cs="Times New Roman"/>
      <w:sz w:val="16"/>
      <w:lang w:eastAsia="en-US"/>
    </w:rPr>
  </w:style>
  <w:style w:type="paragraph" w:styleId="Title">
    <w:name w:val="Title"/>
    <w:basedOn w:val="HeadingBase"/>
    <w:link w:val="TitleChar"/>
    <w:qFormat/>
    <w:rsid w:val="00100420"/>
    <w:pPr>
      <w:spacing w:before="5040"/>
      <w:jc w:val="center"/>
    </w:pPr>
    <w:rPr>
      <w:sz w:val="48"/>
      <w:szCs w:val="72"/>
      <w:lang w:val="en-US"/>
    </w:rPr>
  </w:style>
  <w:style w:type="character" w:customStyle="1" w:styleId="TitleChar">
    <w:name w:val="Title Char"/>
    <w:basedOn w:val="DefaultParagraphFont"/>
    <w:link w:val="Title"/>
    <w:rsid w:val="001004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0420"/>
    <w:pPr>
      <w:tabs>
        <w:tab w:val="left" w:pos="3600"/>
        <w:tab w:val="left" w:pos="3958"/>
      </w:tabs>
    </w:pPr>
  </w:style>
  <w:style w:type="paragraph" w:styleId="List">
    <w:name w:val="List"/>
    <w:basedOn w:val="BodyText"/>
    <w:next w:val="BodyText"/>
    <w:rsid w:val="00100420"/>
    <w:pPr>
      <w:tabs>
        <w:tab w:val="left" w:pos="340"/>
      </w:tabs>
      <w:spacing w:before="60" w:after="60"/>
      <w:ind w:left="340" w:hanging="340"/>
    </w:pPr>
  </w:style>
  <w:style w:type="paragraph" w:customStyle="1" w:styleId="Note">
    <w:name w:val="Note"/>
    <w:basedOn w:val="BodyText"/>
    <w:rsid w:val="001004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00420"/>
    <w:rPr>
      <w:b/>
      <w:spacing w:val="0"/>
    </w:rPr>
  </w:style>
  <w:style w:type="paragraph" w:customStyle="1" w:styleId="SuperTitle">
    <w:name w:val="SuperTitle"/>
    <w:basedOn w:val="Title"/>
    <w:rsid w:val="00100420"/>
    <w:pPr>
      <w:framePr w:wrap="auto" w:hAnchor="text" w:y="6049"/>
    </w:pPr>
    <w:rPr>
      <w:color w:val="000000"/>
      <w:sz w:val="40"/>
    </w:rPr>
  </w:style>
  <w:style w:type="paragraph" w:customStyle="1" w:styleId="TOCTitle">
    <w:name w:val="TOCTitle"/>
    <w:basedOn w:val="Heading1"/>
    <w:rsid w:val="00100420"/>
    <w:pPr>
      <w:spacing w:after="240"/>
      <w:jc w:val="center"/>
      <w:outlineLvl w:val="9"/>
    </w:pPr>
    <w:rPr>
      <w:caps/>
    </w:rPr>
  </w:style>
  <w:style w:type="paragraph" w:customStyle="1" w:styleId="Version">
    <w:name w:val="Version"/>
    <w:rsid w:val="001004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0420"/>
    <w:pPr>
      <w:keepNext w:val="0"/>
      <w:tabs>
        <w:tab w:val="right" w:pos="4176"/>
      </w:tabs>
      <w:ind w:left="198" w:hanging="198"/>
    </w:pPr>
    <w:rPr>
      <w:rFonts w:ascii="Garamond" w:hAnsi="Garamond"/>
    </w:rPr>
  </w:style>
  <w:style w:type="paragraph" w:styleId="IndexHeading">
    <w:name w:val="index heading"/>
    <w:basedOn w:val="Normal"/>
    <w:next w:val="Index1"/>
    <w:semiHidden/>
    <w:rsid w:val="00100420"/>
    <w:pPr>
      <w:spacing w:before="120" w:after="120"/>
    </w:pPr>
    <w:rPr>
      <w:rFonts w:ascii="Arial" w:hAnsi="Arial"/>
      <w:b/>
      <w:color w:val="918585"/>
      <w:sz w:val="24"/>
    </w:rPr>
  </w:style>
  <w:style w:type="paragraph" w:styleId="Header">
    <w:name w:val="header"/>
    <w:basedOn w:val="Normal"/>
    <w:link w:val="HeaderChar"/>
    <w:rsid w:val="001004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0420"/>
    <w:rPr>
      <w:rFonts w:ascii="Times New Roman" w:eastAsia="Times New Roman" w:hAnsi="Times New Roman" w:cs="Times New Roman"/>
      <w:sz w:val="16"/>
      <w:szCs w:val="20"/>
      <w:lang w:val="en-GB" w:eastAsia="en-US"/>
    </w:rPr>
  </w:style>
  <w:style w:type="paragraph" w:customStyle="1" w:styleId="Chapter">
    <w:name w:val="Chapter"/>
    <w:basedOn w:val="Normal"/>
    <w:rsid w:val="00100420"/>
    <w:pPr>
      <w:spacing w:before="240"/>
    </w:pPr>
    <w:rPr>
      <w:rFonts w:ascii="Times New Roman" w:hAnsi="Times New Roman"/>
      <w:smallCaps/>
      <w:spacing w:val="80"/>
      <w:sz w:val="28"/>
    </w:rPr>
  </w:style>
  <w:style w:type="paragraph" w:customStyle="1" w:styleId="InChapter">
    <w:name w:val="InChapter"/>
    <w:basedOn w:val="Heading3"/>
    <w:rsid w:val="00100420"/>
    <w:pPr>
      <w:spacing w:after="240"/>
      <w:outlineLvl w:val="9"/>
    </w:pPr>
    <w:rPr>
      <w:noProof/>
    </w:rPr>
  </w:style>
  <w:style w:type="paragraph" w:styleId="Index2">
    <w:name w:val="index 2"/>
    <w:basedOn w:val="Normal"/>
    <w:next w:val="Normal"/>
    <w:semiHidden/>
    <w:rsid w:val="00100420"/>
    <w:pPr>
      <w:tabs>
        <w:tab w:val="right" w:pos="4176"/>
      </w:tabs>
      <w:ind w:left="568" w:hanging="284"/>
    </w:pPr>
    <w:rPr>
      <w:rFonts w:ascii="Garamond" w:hAnsi="Garamond"/>
    </w:rPr>
  </w:style>
  <w:style w:type="paragraph" w:customStyle="1" w:styleId="Byline">
    <w:name w:val="Byline"/>
    <w:rsid w:val="001004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0420"/>
    <w:pPr>
      <w:tabs>
        <w:tab w:val="clear" w:pos="3600"/>
        <w:tab w:val="clear" w:pos="3958"/>
      </w:tabs>
      <w:jc w:val="right"/>
    </w:pPr>
  </w:style>
  <w:style w:type="character" w:styleId="Emphasis">
    <w:name w:val="Emphasis"/>
    <w:basedOn w:val="DefaultParagraphFont"/>
    <w:qFormat/>
    <w:rsid w:val="00100420"/>
    <w:rPr>
      <w:i/>
    </w:rPr>
  </w:style>
  <w:style w:type="paragraph" w:styleId="Caption">
    <w:name w:val="caption"/>
    <w:basedOn w:val="BodyText"/>
    <w:next w:val="Normal"/>
    <w:qFormat/>
    <w:rsid w:val="00100420"/>
    <w:pPr>
      <w:framePr w:w="2268" w:hSpace="181" w:vSpace="181" w:wrap="around" w:vAnchor="text" w:hAnchor="page" w:x="1135" w:y="285" w:anchorLock="1"/>
    </w:pPr>
    <w:rPr>
      <w:i/>
    </w:rPr>
  </w:style>
  <w:style w:type="paragraph" w:customStyle="1" w:styleId="MiniTOCTitle">
    <w:name w:val="MiniTOCTitle"/>
    <w:basedOn w:val="Heading4"/>
    <w:rsid w:val="00100420"/>
    <w:pPr>
      <w:spacing w:before="240"/>
      <w:outlineLvl w:val="9"/>
    </w:pPr>
    <w:rPr>
      <w:noProof/>
      <w:sz w:val="24"/>
    </w:rPr>
  </w:style>
  <w:style w:type="paragraph" w:customStyle="1" w:styleId="MiniTOCItem">
    <w:name w:val="MiniTOCItem"/>
    <w:basedOn w:val="ListBullet"/>
    <w:rsid w:val="00100420"/>
    <w:pPr>
      <w:numPr>
        <w:numId w:val="0"/>
      </w:numPr>
      <w:tabs>
        <w:tab w:val="right" w:leader="dot" w:pos="6521"/>
      </w:tabs>
      <w:spacing w:before="0" w:after="0"/>
    </w:pPr>
  </w:style>
  <w:style w:type="paragraph" w:customStyle="1" w:styleId="TOFTitle">
    <w:name w:val="TOFTitle"/>
    <w:basedOn w:val="TOCTitle"/>
    <w:rsid w:val="00100420"/>
  </w:style>
  <w:style w:type="paragraph" w:styleId="TableofFigures">
    <w:name w:val="table of figures"/>
    <w:basedOn w:val="Normal"/>
    <w:next w:val="Normal"/>
    <w:semiHidden/>
    <w:rsid w:val="00100420"/>
    <w:pPr>
      <w:tabs>
        <w:tab w:val="right" w:leader="dot" w:pos="9072"/>
      </w:tabs>
      <w:ind w:left="970" w:hanging="403"/>
    </w:pPr>
    <w:rPr>
      <w:rFonts w:ascii="Times New Roman" w:hAnsi="Times New Roman"/>
      <w:b/>
    </w:rPr>
  </w:style>
  <w:style w:type="paragraph" w:styleId="ListNumber">
    <w:name w:val="List Number"/>
    <w:basedOn w:val="List"/>
    <w:rsid w:val="00100420"/>
    <w:pPr>
      <w:numPr>
        <w:numId w:val="15"/>
      </w:numPr>
      <w:tabs>
        <w:tab w:val="clear" w:pos="340"/>
      </w:tabs>
    </w:pPr>
  </w:style>
  <w:style w:type="character" w:customStyle="1" w:styleId="WingdingSymbols">
    <w:name w:val="Wingding Symbols"/>
    <w:rsid w:val="00100420"/>
    <w:rPr>
      <w:rFonts w:ascii="Wingdings" w:hAnsi="Wingdings"/>
    </w:rPr>
  </w:style>
  <w:style w:type="paragraph" w:customStyle="1" w:styleId="TableHeading">
    <w:name w:val="Table Heading"/>
    <w:basedOn w:val="HeadingBase"/>
    <w:rsid w:val="00100420"/>
    <w:pPr>
      <w:keepLines/>
      <w:pBdr>
        <w:bottom w:val="single" w:sz="6" w:space="1" w:color="918585"/>
      </w:pBdr>
      <w:spacing w:before="240"/>
    </w:pPr>
  </w:style>
  <w:style w:type="character" w:customStyle="1" w:styleId="HotSpot">
    <w:name w:val="HotSpot"/>
    <w:rsid w:val="00100420"/>
    <w:rPr>
      <w:color w:val="0033CC"/>
      <w:u w:val="none"/>
    </w:rPr>
  </w:style>
  <w:style w:type="paragraph" w:customStyle="1" w:styleId="BodyTextRight">
    <w:name w:val="Body Text Right"/>
    <w:basedOn w:val="BodyText"/>
    <w:rsid w:val="00100420"/>
    <w:pPr>
      <w:spacing w:before="0" w:after="0"/>
      <w:jc w:val="right"/>
    </w:pPr>
  </w:style>
  <w:style w:type="paragraph" w:styleId="Index3">
    <w:name w:val="index 3"/>
    <w:basedOn w:val="ListNumber2"/>
    <w:next w:val="Normal"/>
    <w:semiHidden/>
    <w:rsid w:val="00100420"/>
    <w:pPr>
      <w:numPr>
        <w:numId w:val="0"/>
      </w:numPr>
      <w:tabs>
        <w:tab w:val="right" w:leader="dot" w:pos="4176"/>
      </w:tabs>
    </w:pPr>
  </w:style>
  <w:style w:type="paragraph" w:styleId="ListNumber2">
    <w:name w:val="List Number 2"/>
    <w:basedOn w:val="List2"/>
    <w:rsid w:val="00100420"/>
    <w:pPr>
      <w:numPr>
        <w:numId w:val="10"/>
      </w:numPr>
      <w:tabs>
        <w:tab w:val="clear" w:pos="1060"/>
      </w:tabs>
    </w:pPr>
  </w:style>
  <w:style w:type="paragraph" w:customStyle="1" w:styleId="MarginNote">
    <w:name w:val="Margin Note"/>
    <w:basedOn w:val="BodyText"/>
    <w:rsid w:val="001004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04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04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0420"/>
    <w:rPr>
      <w:sz w:val="32"/>
    </w:rPr>
  </w:style>
  <w:style w:type="paragraph" w:customStyle="1" w:styleId="HeadingProcedure">
    <w:name w:val="Heading Procedure"/>
    <w:basedOn w:val="HeadingBase"/>
    <w:next w:val="Normal"/>
    <w:rsid w:val="00100420"/>
    <w:pPr>
      <w:tabs>
        <w:tab w:val="left" w:pos="0"/>
      </w:tabs>
      <w:spacing w:before="120" w:after="60"/>
    </w:pPr>
    <w:rPr>
      <w:i/>
      <w:color w:val="918585"/>
      <w:sz w:val="22"/>
    </w:rPr>
  </w:style>
  <w:style w:type="paragraph" w:customStyle="1" w:styleId="TableBodyText">
    <w:name w:val="Table Body Text"/>
    <w:basedOn w:val="BodyText"/>
    <w:rsid w:val="00100420"/>
    <w:pPr>
      <w:spacing w:before="60" w:after="60"/>
    </w:pPr>
  </w:style>
  <w:style w:type="paragraph" w:styleId="ListContinue">
    <w:name w:val="List Continue"/>
    <w:basedOn w:val="List"/>
    <w:rsid w:val="00100420"/>
    <w:pPr>
      <w:ind w:firstLine="0"/>
    </w:pPr>
  </w:style>
  <w:style w:type="paragraph" w:customStyle="1" w:styleId="ListNote">
    <w:name w:val="List Note"/>
    <w:basedOn w:val="List"/>
    <w:rsid w:val="00100420"/>
    <w:pPr>
      <w:pBdr>
        <w:top w:val="single" w:sz="6" w:space="2" w:color="918585"/>
        <w:bottom w:val="single" w:sz="6" w:space="2" w:color="918585"/>
      </w:pBdr>
      <w:tabs>
        <w:tab w:val="left" w:pos="1021"/>
      </w:tabs>
      <w:ind w:firstLine="0"/>
    </w:pPr>
  </w:style>
  <w:style w:type="paragraph" w:customStyle="1" w:styleId="Warning">
    <w:name w:val="Warning"/>
    <w:basedOn w:val="BodyText"/>
    <w:rsid w:val="00100420"/>
    <w:pPr>
      <w:shd w:val="clear" w:color="auto" w:fill="D9D9D9"/>
      <w:tabs>
        <w:tab w:val="left" w:pos="992"/>
      </w:tabs>
      <w:ind w:left="119" w:right="119"/>
    </w:pPr>
    <w:rPr>
      <w:sz w:val="20"/>
    </w:rPr>
  </w:style>
  <w:style w:type="paragraph" w:customStyle="1" w:styleId="MarginIcons">
    <w:name w:val="Margin Icons"/>
    <w:basedOn w:val="BodyText"/>
    <w:rsid w:val="001004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0420"/>
    <w:rPr>
      <w:rFonts w:ascii="Courier New" w:hAnsi="Courier New"/>
    </w:rPr>
  </w:style>
  <w:style w:type="paragraph" w:customStyle="1" w:styleId="NoteBullet">
    <w:name w:val="Note Bullet"/>
    <w:basedOn w:val="Note"/>
    <w:rsid w:val="00100420"/>
    <w:pPr>
      <w:tabs>
        <w:tab w:val="clear" w:pos="680"/>
      </w:tabs>
      <w:spacing w:before="60" w:after="60"/>
    </w:pPr>
  </w:style>
  <w:style w:type="paragraph" w:customStyle="1" w:styleId="SubHeading2">
    <w:name w:val="SubHeading2"/>
    <w:basedOn w:val="HeadingBase"/>
    <w:rsid w:val="00100420"/>
    <w:pPr>
      <w:spacing w:before="240" w:after="60"/>
    </w:pPr>
    <w:rPr>
      <w:sz w:val="20"/>
    </w:rPr>
  </w:style>
  <w:style w:type="paragraph" w:customStyle="1" w:styleId="SubHeading1">
    <w:name w:val="SubHeading1"/>
    <w:basedOn w:val="HeadingBase"/>
    <w:rsid w:val="00100420"/>
    <w:pPr>
      <w:spacing w:before="240" w:after="60"/>
    </w:pPr>
    <w:rPr>
      <w:color w:val="918585"/>
      <w:sz w:val="22"/>
    </w:rPr>
  </w:style>
  <w:style w:type="paragraph" w:customStyle="1" w:styleId="SideHeading">
    <w:name w:val="Side Heading"/>
    <w:basedOn w:val="HeadingBase"/>
    <w:rsid w:val="001004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0420"/>
    <w:pPr>
      <w:tabs>
        <w:tab w:val="num" w:pos="360"/>
      </w:tabs>
    </w:pPr>
  </w:style>
  <w:style w:type="paragraph" w:styleId="PlainText">
    <w:name w:val="Plain Text"/>
    <w:basedOn w:val="Normal"/>
    <w:link w:val="PlainTextChar"/>
    <w:rsid w:val="00100420"/>
    <w:rPr>
      <w:sz w:val="20"/>
    </w:rPr>
  </w:style>
  <w:style w:type="character" w:customStyle="1" w:styleId="PlainTextChar">
    <w:name w:val="Plain Text Char"/>
    <w:basedOn w:val="DefaultParagraphFont"/>
    <w:link w:val="PlainText"/>
    <w:rsid w:val="00100420"/>
    <w:rPr>
      <w:rFonts w:ascii="Courier New" w:eastAsia="Times New Roman" w:hAnsi="Courier New" w:cs="Times New Roman"/>
      <w:sz w:val="20"/>
      <w:szCs w:val="20"/>
      <w:lang w:eastAsia="en-US"/>
    </w:rPr>
  </w:style>
  <w:style w:type="character" w:customStyle="1" w:styleId="MenuOption">
    <w:name w:val="Menu Option"/>
    <w:basedOn w:val="DefaultParagraphFont"/>
    <w:rsid w:val="00100420"/>
    <w:rPr>
      <w:b/>
      <w:smallCaps/>
    </w:rPr>
  </w:style>
  <w:style w:type="paragraph" w:customStyle="1" w:styleId="TableListNumber">
    <w:name w:val="Table List Number"/>
    <w:basedOn w:val="ListNumber"/>
    <w:rsid w:val="00100420"/>
    <w:pPr>
      <w:numPr>
        <w:numId w:val="0"/>
      </w:numPr>
    </w:pPr>
  </w:style>
  <w:style w:type="paragraph" w:styleId="TOC4">
    <w:name w:val="toc 4"/>
    <w:basedOn w:val="TOCBase"/>
    <w:next w:val="Normal"/>
    <w:semiHidden/>
    <w:rsid w:val="00100420"/>
    <w:pPr>
      <w:tabs>
        <w:tab w:val="right" w:leader="dot" w:pos="9071"/>
      </w:tabs>
      <w:ind w:left="1701"/>
    </w:pPr>
  </w:style>
  <w:style w:type="paragraph" w:customStyle="1" w:styleId="ListAlpha">
    <w:name w:val="List Alpha"/>
    <w:basedOn w:val="List"/>
    <w:rsid w:val="00100420"/>
    <w:pPr>
      <w:numPr>
        <w:numId w:val="9"/>
      </w:numPr>
    </w:pPr>
  </w:style>
  <w:style w:type="paragraph" w:customStyle="1" w:styleId="ListAlpha2">
    <w:name w:val="List Alpha 2"/>
    <w:basedOn w:val="List2"/>
    <w:rsid w:val="00100420"/>
    <w:pPr>
      <w:numPr>
        <w:numId w:val="8"/>
      </w:numPr>
    </w:pPr>
  </w:style>
  <w:style w:type="paragraph" w:styleId="List2">
    <w:name w:val="List 2"/>
    <w:basedOn w:val="BodyText"/>
    <w:rsid w:val="00100420"/>
    <w:pPr>
      <w:tabs>
        <w:tab w:val="left" w:pos="680"/>
      </w:tabs>
      <w:spacing w:before="60" w:after="60"/>
      <w:ind w:left="680" w:hanging="340"/>
    </w:pPr>
  </w:style>
  <w:style w:type="paragraph" w:styleId="List3">
    <w:name w:val="List 3"/>
    <w:basedOn w:val="BodyText"/>
    <w:rsid w:val="00100420"/>
    <w:pPr>
      <w:tabs>
        <w:tab w:val="left" w:pos="1021"/>
      </w:tabs>
      <w:spacing w:before="60" w:after="60"/>
      <w:ind w:left="1020" w:hanging="340"/>
    </w:pPr>
  </w:style>
  <w:style w:type="paragraph" w:styleId="List4">
    <w:name w:val="List 4"/>
    <w:basedOn w:val="BodyText"/>
    <w:rsid w:val="00100420"/>
    <w:pPr>
      <w:tabs>
        <w:tab w:val="left" w:pos="1361"/>
      </w:tabs>
      <w:spacing w:before="60" w:after="60"/>
      <w:ind w:left="1361" w:hanging="340"/>
    </w:pPr>
  </w:style>
  <w:style w:type="paragraph" w:styleId="List5">
    <w:name w:val="List 5"/>
    <w:basedOn w:val="BodyText"/>
    <w:rsid w:val="00100420"/>
    <w:pPr>
      <w:tabs>
        <w:tab w:val="left" w:pos="1701"/>
      </w:tabs>
      <w:spacing w:before="60" w:after="60"/>
      <w:ind w:left="1701" w:hanging="340"/>
    </w:pPr>
  </w:style>
  <w:style w:type="paragraph" w:styleId="ListBullet3">
    <w:name w:val="List Bullet 3"/>
    <w:basedOn w:val="List3"/>
    <w:rsid w:val="00100420"/>
    <w:pPr>
      <w:numPr>
        <w:numId w:val="14"/>
      </w:numPr>
      <w:tabs>
        <w:tab w:val="clear" w:pos="1021"/>
      </w:tabs>
      <w:ind w:left="1037" w:hanging="357"/>
    </w:pPr>
  </w:style>
  <w:style w:type="paragraph" w:styleId="ListBullet4">
    <w:name w:val="List Bullet 4"/>
    <w:basedOn w:val="List4"/>
    <w:rsid w:val="00100420"/>
    <w:pPr>
      <w:numPr>
        <w:numId w:val="3"/>
      </w:numPr>
      <w:tabs>
        <w:tab w:val="clear" w:pos="1361"/>
      </w:tabs>
    </w:pPr>
  </w:style>
  <w:style w:type="paragraph" w:styleId="ListBullet5">
    <w:name w:val="List Bullet 5"/>
    <w:basedOn w:val="List5"/>
    <w:rsid w:val="00100420"/>
    <w:pPr>
      <w:numPr>
        <w:numId w:val="4"/>
      </w:numPr>
    </w:pPr>
  </w:style>
  <w:style w:type="paragraph" w:styleId="ListContinue2">
    <w:name w:val="List Continue 2"/>
    <w:basedOn w:val="List2"/>
    <w:rsid w:val="00100420"/>
    <w:pPr>
      <w:ind w:firstLine="0"/>
    </w:pPr>
  </w:style>
  <w:style w:type="paragraph" w:styleId="ListContinue3">
    <w:name w:val="List Continue 3"/>
    <w:basedOn w:val="List3"/>
    <w:rsid w:val="00100420"/>
    <w:pPr>
      <w:ind w:left="1021" w:firstLine="0"/>
    </w:pPr>
  </w:style>
  <w:style w:type="paragraph" w:styleId="ListContinue4">
    <w:name w:val="List Continue 4"/>
    <w:basedOn w:val="List4"/>
    <w:rsid w:val="00100420"/>
    <w:pPr>
      <w:ind w:firstLine="0"/>
    </w:pPr>
  </w:style>
  <w:style w:type="paragraph" w:styleId="ListContinue5">
    <w:name w:val="List Continue 5"/>
    <w:basedOn w:val="List5"/>
    <w:rsid w:val="00100420"/>
    <w:pPr>
      <w:ind w:firstLine="0"/>
    </w:pPr>
  </w:style>
  <w:style w:type="paragraph" w:styleId="ListNumber3">
    <w:name w:val="List Number 3"/>
    <w:basedOn w:val="List3"/>
    <w:rsid w:val="00100420"/>
    <w:pPr>
      <w:numPr>
        <w:numId w:val="5"/>
      </w:numPr>
    </w:pPr>
  </w:style>
  <w:style w:type="paragraph" w:styleId="ListNumber4">
    <w:name w:val="List Number 4"/>
    <w:basedOn w:val="List4"/>
    <w:rsid w:val="00100420"/>
    <w:pPr>
      <w:numPr>
        <w:numId w:val="6"/>
      </w:numPr>
    </w:pPr>
  </w:style>
  <w:style w:type="paragraph" w:styleId="ListNumber5">
    <w:name w:val="List Number 5"/>
    <w:basedOn w:val="List5"/>
    <w:rsid w:val="00100420"/>
    <w:pPr>
      <w:numPr>
        <w:numId w:val="7"/>
      </w:numPr>
    </w:pPr>
  </w:style>
  <w:style w:type="paragraph" w:styleId="BlockText">
    <w:name w:val="Block Text"/>
    <w:basedOn w:val="Normal"/>
    <w:rsid w:val="00100420"/>
    <w:pPr>
      <w:spacing w:after="120"/>
      <w:ind w:left="1440" w:right="1440"/>
    </w:pPr>
  </w:style>
  <w:style w:type="character" w:customStyle="1" w:styleId="Subscript">
    <w:name w:val="Subscript"/>
    <w:basedOn w:val="DefaultParagraphFont"/>
    <w:rsid w:val="00100420"/>
    <w:rPr>
      <w:sz w:val="16"/>
      <w:vertAlign w:val="subscript"/>
    </w:rPr>
  </w:style>
  <w:style w:type="character" w:customStyle="1" w:styleId="Superscript">
    <w:name w:val="Superscript"/>
    <w:basedOn w:val="DefaultParagraphFont"/>
    <w:rsid w:val="00100420"/>
    <w:rPr>
      <w:sz w:val="16"/>
      <w:vertAlign w:val="superscript"/>
    </w:rPr>
  </w:style>
  <w:style w:type="character" w:customStyle="1" w:styleId="Symbols">
    <w:name w:val="Symbols"/>
    <w:basedOn w:val="DefaultParagraphFont"/>
    <w:rsid w:val="00100420"/>
    <w:rPr>
      <w:rFonts w:ascii="Symbol" w:hAnsi="Symbol"/>
    </w:rPr>
  </w:style>
  <w:style w:type="character" w:customStyle="1" w:styleId="MenuOptions">
    <w:name w:val="Menu Options"/>
    <w:basedOn w:val="DefaultParagraphFont"/>
    <w:rsid w:val="00100420"/>
    <w:rPr>
      <w:rFonts w:ascii="Arial Narrow" w:hAnsi="Arial Narrow"/>
      <w:smallCaps/>
    </w:rPr>
  </w:style>
  <w:style w:type="character" w:customStyle="1" w:styleId="Buttons">
    <w:name w:val="Buttons"/>
    <w:basedOn w:val="DefaultParagraphFont"/>
    <w:rsid w:val="00100420"/>
    <w:rPr>
      <w:b/>
    </w:rPr>
  </w:style>
  <w:style w:type="character" w:customStyle="1" w:styleId="Underlined">
    <w:name w:val="Underlined"/>
    <w:basedOn w:val="DefaultParagraphFont"/>
    <w:rsid w:val="00100420"/>
    <w:rPr>
      <w:u w:val="single"/>
    </w:rPr>
  </w:style>
  <w:style w:type="paragraph" w:customStyle="1" w:styleId="TableBodyTextRight">
    <w:name w:val="Table Body Text Right"/>
    <w:basedOn w:val="TableBodyText"/>
    <w:rsid w:val="00100420"/>
    <w:pPr>
      <w:widowControl w:val="0"/>
      <w:autoSpaceDE w:val="0"/>
      <w:autoSpaceDN w:val="0"/>
      <w:adjustRightInd w:val="0"/>
      <w:jc w:val="right"/>
    </w:pPr>
    <w:rPr>
      <w:rFonts w:cs="Arial"/>
      <w:szCs w:val="18"/>
    </w:rPr>
  </w:style>
  <w:style w:type="paragraph" w:customStyle="1" w:styleId="CopyrightText">
    <w:name w:val="Copyright Text"/>
    <w:basedOn w:val="BodyText"/>
    <w:rsid w:val="00100420"/>
    <w:rPr>
      <w:sz w:val="18"/>
    </w:rPr>
  </w:style>
  <w:style w:type="paragraph" w:customStyle="1" w:styleId="BodySmallRight">
    <w:name w:val="Body Small Right"/>
    <w:basedOn w:val="BodyTextRight"/>
    <w:rsid w:val="00100420"/>
    <w:rPr>
      <w:sz w:val="18"/>
      <w:szCs w:val="18"/>
    </w:rPr>
  </w:style>
  <w:style w:type="paragraph" w:customStyle="1" w:styleId="MarginEdition">
    <w:name w:val="Margin Edition"/>
    <w:basedOn w:val="MarginNote"/>
    <w:rsid w:val="00100420"/>
    <w:pPr>
      <w:spacing w:before="0" w:after="0"/>
    </w:pPr>
    <w:rPr>
      <w:rFonts w:ascii="Times New Roman" w:hAnsi="Times New Roman"/>
      <w:color w:val="999999"/>
    </w:rPr>
  </w:style>
  <w:style w:type="paragraph" w:customStyle="1" w:styleId="Spacer">
    <w:name w:val="Spacer"/>
    <w:basedOn w:val="Normal"/>
    <w:rsid w:val="00100420"/>
    <w:rPr>
      <w:sz w:val="2"/>
      <w:szCs w:val="2"/>
    </w:rPr>
  </w:style>
  <w:style w:type="character" w:customStyle="1" w:styleId="Small">
    <w:name w:val="Small"/>
    <w:basedOn w:val="DefaultParagraphFont"/>
    <w:rsid w:val="00100420"/>
    <w:rPr>
      <w:sz w:val="16"/>
    </w:rPr>
  </w:style>
  <w:style w:type="paragraph" w:customStyle="1" w:styleId="WideTable">
    <w:name w:val="Wide Table"/>
    <w:basedOn w:val="Normal"/>
    <w:rsid w:val="00100420"/>
    <w:pPr>
      <w:ind w:left="-1418"/>
    </w:pPr>
    <w:rPr>
      <w:sz w:val="2"/>
      <w:szCs w:val="2"/>
    </w:rPr>
  </w:style>
  <w:style w:type="character" w:styleId="PageNumber">
    <w:name w:val="page number"/>
    <w:basedOn w:val="DefaultParagraphFont"/>
    <w:rsid w:val="00100420"/>
  </w:style>
  <w:style w:type="paragraph" w:styleId="Quote">
    <w:name w:val="Quote"/>
    <w:basedOn w:val="Heading1"/>
    <w:link w:val="QuoteChar"/>
    <w:qFormat/>
    <w:rsid w:val="00100420"/>
    <w:rPr>
      <w:b w:val="0"/>
      <w:sz w:val="72"/>
      <w:szCs w:val="72"/>
      <w:lang w:val="en-NZ"/>
    </w:rPr>
  </w:style>
  <w:style w:type="character" w:customStyle="1" w:styleId="QuoteChar">
    <w:name w:val="Quote Char"/>
    <w:basedOn w:val="DefaultParagraphFont"/>
    <w:link w:val="Quote"/>
    <w:rsid w:val="001004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0420"/>
    <w:pPr>
      <w:pageBreakBefore/>
    </w:pPr>
  </w:style>
  <w:style w:type="paragraph" w:customStyle="1" w:styleId="Border">
    <w:name w:val="Border"/>
    <w:basedOn w:val="Normal"/>
    <w:qFormat/>
    <w:rsid w:val="001004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0420"/>
    <w:rPr>
      <w:b/>
      <w:bCs/>
      <w:i/>
      <w:iCs/>
      <w:color w:val="auto"/>
    </w:rPr>
  </w:style>
  <w:style w:type="paragraph" w:styleId="IntenseQuote">
    <w:name w:val="Intense Quote"/>
    <w:basedOn w:val="Normal"/>
    <w:next w:val="Normal"/>
    <w:link w:val="IntenseQuoteChar"/>
    <w:uiPriority w:val="30"/>
    <w:qFormat/>
    <w:rsid w:val="001004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04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0420"/>
    <w:rPr>
      <w:smallCaps/>
      <w:color w:val="auto"/>
      <w:u w:val="single"/>
    </w:rPr>
  </w:style>
  <w:style w:type="character" w:styleId="IntenseReference">
    <w:name w:val="Intense Reference"/>
    <w:basedOn w:val="DefaultParagraphFont"/>
    <w:uiPriority w:val="32"/>
    <w:qFormat/>
    <w:rsid w:val="00100420"/>
    <w:rPr>
      <w:b/>
      <w:bCs/>
      <w:smallCaps/>
      <w:color w:val="auto"/>
      <w:spacing w:val="5"/>
      <w:u w:val="single"/>
    </w:rPr>
  </w:style>
  <w:style w:type="paragraph" w:customStyle="1" w:styleId="2ColumnHeading">
    <w:name w:val="2Column Heading"/>
    <w:basedOn w:val="BodyText"/>
    <w:qFormat/>
    <w:rsid w:val="00100420"/>
    <w:pPr>
      <w:spacing w:after="60"/>
      <w:ind w:left="-2268"/>
    </w:pPr>
    <w:rPr>
      <w:b/>
    </w:rPr>
  </w:style>
  <w:style w:type="paragraph" w:customStyle="1" w:styleId="Heading1TOC">
    <w:name w:val="Heading1 TOC"/>
    <w:basedOn w:val="Normal"/>
    <w:qFormat/>
    <w:rsid w:val="00100420"/>
    <w:pPr>
      <w:spacing w:before="240" w:after="120"/>
    </w:pPr>
    <w:rPr>
      <w:rFonts w:ascii="Times New Roman" w:hAnsi="Times New Roman"/>
      <w:b/>
      <w:sz w:val="32"/>
    </w:rPr>
  </w:style>
  <w:style w:type="paragraph" w:customStyle="1" w:styleId="Heading2TOC">
    <w:name w:val="Heading2 TOC"/>
    <w:basedOn w:val="Normal"/>
    <w:qFormat/>
    <w:rsid w:val="00100420"/>
    <w:pPr>
      <w:spacing w:before="240" w:after="60"/>
    </w:pPr>
    <w:rPr>
      <w:rFonts w:ascii="Times New Roman" w:hAnsi="Times New Roman"/>
      <w:b/>
      <w:sz w:val="28"/>
    </w:rPr>
  </w:style>
  <w:style w:type="character" w:customStyle="1" w:styleId="Underline">
    <w:name w:val="Underline"/>
    <w:basedOn w:val="DefaultParagraphFont"/>
    <w:qFormat/>
    <w:rsid w:val="00100420"/>
    <w:rPr>
      <w:u w:val="single"/>
    </w:rPr>
  </w:style>
  <w:style w:type="character" w:customStyle="1" w:styleId="BoldandItalics">
    <w:name w:val="Bold and Italics"/>
    <w:qFormat/>
    <w:rsid w:val="00100420"/>
    <w:rPr>
      <w:b/>
      <w:i/>
      <w:u w:val="none"/>
    </w:rPr>
  </w:style>
  <w:style w:type="paragraph" w:styleId="BalloonText">
    <w:name w:val="Balloon Text"/>
    <w:basedOn w:val="Normal"/>
    <w:link w:val="BalloonTextChar"/>
    <w:rsid w:val="00100420"/>
    <w:rPr>
      <w:rFonts w:ascii="Tahoma" w:hAnsi="Tahoma" w:cs="Tahoma"/>
      <w:sz w:val="16"/>
      <w:szCs w:val="16"/>
    </w:rPr>
  </w:style>
  <w:style w:type="character" w:customStyle="1" w:styleId="BalloonTextChar">
    <w:name w:val="Balloon Text Char"/>
    <w:basedOn w:val="DefaultParagraphFont"/>
    <w:link w:val="BalloonText"/>
    <w:rsid w:val="001004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04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04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0420"/>
    <w:rPr>
      <w:b/>
      <w:color w:val="660033"/>
      <w:spacing w:val="0"/>
    </w:rPr>
  </w:style>
  <w:style w:type="paragraph" w:customStyle="1" w:styleId="Nameditemlist">
    <w:name w:val="Named item list"/>
    <w:basedOn w:val="BodyText"/>
    <w:qFormat/>
    <w:rsid w:val="00100420"/>
    <w:pPr>
      <w:tabs>
        <w:tab w:val="left" w:pos="2835"/>
      </w:tabs>
      <w:ind w:left="2835" w:hanging="2835"/>
    </w:pPr>
  </w:style>
  <w:style w:type="paragraph" w:customStyle="1" w:styleId="BodyTextnopadding">
    <w:name w:val="Body Text no padding"/>
    <w:basedOn w:val="BodyText"/>
    <w:qFormat/>
    <w:rsid w:val="00100420"/>
    <w:pPr>
      <w:spacing w:before="0" w:after="0"/>
    </w:pPr>
  </w:style>
  <w:style w:type="paragraph" w:customStyle="1" w:styleId="BodyTextBold">
    <w:name w:val="Body Text Bold"/>
    <w:basedOn w:val="BodyText"/>
    <w:qFormat/>
    <w:rsid w:val="00100420"/>
    <w:rPr>
      <w:b/>
    </w:rPr>
  </w:style>
  <w:style w:type="character" w:styleId="Hyperlink">
    <w:name w:val="Hyperlink"/>
    <w:basedOn w:val="DefaultParagraphFont"/>
    <w:uiPriority w:val="99"/>
    <w:unhideWhenUsed/>
    <w:rsid w:val="00F728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1202</Words>
  <Characters>7865</Characters>
  <Application>Microsoft Office Word</Application>
  <DocSecurity>0</DocSecurity>
  <Lines>280</Lines>
  <Paragraphs>146</Paragraphs>
  <ScaleCrop>false</ScaleCrop>
  <Company>Author-it Software Corporation Ltd.</Company>
  <LinksUpToDate>false</LinksUpToDate>
  <CharactersWithSpaces>8921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CPPFES3045 Install gaseous agent containers and actuators</dc:title>
  <dc:subject>Approved</dc:subject>
  <dc:creator>BuildSkills Australia</dc:creator>
  <cp:keywords>Release: 1</cp:keywords>
  <dc:description>Review Date: 12 April 2008</dc:description>
  <cp:lastModifiedBy>HSD_TPCMSd.prod</cp:lastModifiedBy>
  <cp:revision>3</cp:revision>
  <dcterms:created xsi:type="dcterms:W3CDTF">2025-03-02T01:25:00Z</dcterms:created>
  <dcterms:modified xsi:type="dcterms:W3CDTF">2025-03-02T01:25:00Z</dcterms:modified>
</cp:coreProperties>
</file>