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3C15" w:rsidP="00233C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CPPFES3045 Install gaseous agent containers and actuators</w:t>
      </w:r>
      <w:r>
        <w:fldChar w:fldCharType="end"/>
      </w:r>
    </w:p>
    <w:p w:rsidR="00233C15" w:rsidP="00233C15">
      <w:pPr>
        <w:pStyle w:val="Version"/>
        <w:sectPr w:rsidSect="007826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266F" w:rsidP="0078266F">
      <w:pPr>
        <w:pStyle w:val="SuperHeading"/>
      </w:pPr>
      <w:r w:rsidRPr="0078266F">
        <w:t>Assessment Requirements for CPPFES3045 Install gaseous agent containers and actuators</w:t>
      </w:r>
    </w:p>
    <w:p w:rsidR="00000000" w:rsidRPr="0078266F" w:rsidP="0078266F">
      <w:pPr>
        <w:pStyle w:val="Heading1"/>
      </w:pPr>
      <w:bookmarkStart w:id="1" w:name="O_1163774"/>
      <w:bookmarkEnd w:id="1"/>
      <w:r w:rsidRPr="007826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05"/>
        <w:gridCol w:w="7597"/>
      </w:tblGrid>
      <w:tr w:rsidTr="007826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66F">
            <w:pPr>
              <w:pStyle w:val="BodyText"/>
              <w:rPr>
                <w:lang w:val="en-NZ"/>
              </w:rPr>
            </w:pPr>
            <w:r w:rsidRPr="0078266F">
              <w:t>Release 1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66F" w:rsidP="0078266F">
            <w:pPr>
              <w:pStyle w:val="BodyText"/>
            </w:pPr>
            <w:r w:rsidRPr="0078266F">
              <w:t>This version first released with CPP Property Services Training Package Release 13.0.</w:t>
            </w:r>
          </w:p>
          <w:p w:rsidR="00000000" w:rsidRPr="0078266F" w:rsidP="0078266F">
            <w:pPr>
              <w:pStyle w:val="BodyText"/>
            </w:pPr>
            <w:r w:rsidRPr="0078266F">
              <w:t>Supersedes and is equivalent to CPPFES3045A Install gaseous agent containers and actuators.  Unit updated to meet the Standards for Training Packages 2012.</w:t>
            </w:r>
          </w:p>
        </w:tc>
      </w:tr>
    </w:tbl>
    <w:p w:rsidR="00000000" w:rsidRPr="0078266F" w:rsidP="0078266F">
      <w:pPr>
        <w:pStyle w:val="BodyText"/>
      </w:pPr>
    </w:p>
    <w:p w:rsidR="00000000" w:rsidRPr="0078266F" w:rsidP="0078266F">
      <w:pPr>
        <w:pStyle w:val="AllowPageBreak"/>
      </w:pPr>
    </w:p>
    <w:p w:rsidR="00000000" w:rsidRPr="0078266F" w:rsidP="0078266F">
      <w:pPr>
        <w:pStyle w:val="Heading1"/>
      </w:pPr>
      <w:bookmarkStart w:id="2" w:name="O_1163777"/>
      <w:bookmarkEnd w:id="2"/>
      <w:r w:rsidRPr="0078266F">
        <w:t>Performance Evidence</w:t>
      </w:r>
    </w:p>
    <w:p w:rsidR="00000000" w:rsidRPr="0078266F" w:rsidP="00233C15">
      <w:pPr>
        <w:pStyle w:val="BodyText"/>
      </w:pPr>
      <w:r w:rsidRPr="0078266F">
        <w:t>To demonstrate competency, a candidate must meet the eleme</w:t>
      </w:r>
      <w:r w:rsidRPr="0078266F">
        <w:t>nts and performance criteria of this unit by installing gaseous agent containers and actuators in two different settings.</w:t>
      </w:r>
    </w:p>
    <w:p w:rsidR="00000000" w:rsidRPr="0078266F" w:rsidP="0078266F">
      <w:pPr>
        <w:pStyle w:val="Heading1"/>
      </w:pPr>
      <w:bookmarkStart w:id="3" w:name="O_1163776"/>
      <w:bookmarkEnd w:id="3"/>
      <w:r w:rsidRPr="0078266F">
        <w:t>Knowledge Evidence</w:t>
      </w:r>
    </w:p>
    <w:p w:rsidR="00000000" w:rsidRPr="0078266F" w:rsidP="00233C15">
      <w:pPr>
        <w:pStyle w:val="BodyText"/>
      </w:pPr>
      <w:r w:rsidRPr="0078266F">
        <w:t>To be competent in this unit, a candidate must demonstrate knowledge of:</w:t>
      </w:r>
    </w:p>
    <w:p w:rsidR="00000000" w:rsidRPr="0078266F" w:rsidP="0078266F">
      <w:pPr>
        <w:pStyle w:val="ListBullet"/>
      </w:pPr>
      <w:r w:rsidRPr="0078266F">
        <w:t xml:space="preserve">action to take when a </w:t>
      </w:r>
      <w:r w:rsidRPr="0078266F">
        <w:t>breach of work health and safety (WHS), ozone depleting substances (ODS) and synthetic greenhouse gases (SGG) regulation or other policy occurs when installing gaseous agent containers and actuators</w:t>
      </w:r>
    </w:p>
    <w:p w:rsidR="00000000" w:rsidRPr="0078266F" w:rsidP="0078266F">
      <w:pPr>
        <w:pStyle w:val="ListBullet"/>
      </w:pPr>
      <w:r w:rsidRPr="0078266F">
        <w:t>implications of not complying with regulatory requirement</w:t>
      </w:r>
      <w:r w:rsidRPr="0078266F">
        <w:t>s when installing gaseous agent containers and actuators</w:t>
      </w:r>
    </w:p>
    <w:p w:rsidR="00000000" w:rsidRPr="0078266F" w:rsidP="0078266F">
      <w:pPr>
        <w:pStyle w:val="ListBullet"/>
      </w:pPr>
      <w:r w:rsidRPr="0078266F">
        <w:t>key features of legislation, regulations, codes and Australian Standards relevant to installing gaseous agent containers and actuators:</w:t>
      </w:r>
    </w:p>
    <w:p w:rsidR="00000000" w:rsidRPr="0078266F" w:rsidP="0078266F">
      <w:pPr>
        <w:pStyle w:val="ListBullet2"/>
      </w:pPr>
      <w:r w:rsidRPr="0078266F">
        <w:t>environmental protection</w:t>
      </w:r>
    </w:p>
    <w:p w:rsidR="00000000" w:rsidRPr="0078266F" w:rsidP="0078266F">
      <w:pPr>
        <w:pStyle w:val="ListBullet2"/>
      </w:pPr>
      <w:r w:rsidRPr="0078266F">
        <w:t>extinguishing agent handling licence (EAHL) requirements</w:t>
      </w:r>
    </w:p>
    <w:p w:rsidR="00000000" w:rsidRPr="0078266F" w:rsidP="0078266F">
      <w:pPr>
        <w:pStyle w:val="ListBullet2"/>
      </w:pPr>
      <w:r w:rsidRPr="0078266F">
        <w:t>intent of the Australian Standard for the maintenance of fire protection systems and equipment in relation to the installation of gaseous agent containers and actuators</w:t>
      </w:r>
    </w:p>
    <w:p w:rsidR="00000000" w:rsidRPr="0078266F" w:rsidP="0078266F">
      <w:pPr>
        <w:pStyle w:val="ListBullet2"/>
      </w:pPr>
      <w:r w:rsidRPr="0078266F">
        <w:t>National Construction Code (NC</w:t>
      </w:r>
      <w:r w:rsidRPr="0078266F">
        <w:t>C) and deemed-to-satisfy requirements</w:t>
      </w:r>
    </w:p>
    <w:p w:rsidR="00000000" w:rsidRPr="0078266F" w:rsidP="0078266F">
      <w:pPr>
        <w:pStyle w:val="ListBullet2"/>
      </w:pPr>
      <w:r w:rsidRPr="0078266F">
        <w:t>records and documentation</w:t>
      </w:r>
    </w:p>
    <w:p w:rsidR="00000000" w:rsidRPr="0078266F" w:rsidP="0078266F">
      <w:pPr>
        <w:pStyle w:val="ListBullet"/>
      </w:pPr>
      <w:r w:rsidRPr="0078266F">
        <w:t>methods and reasons for preventing ODS and SGG emissions</w:t>
      </w:r>
    </w:p>
    <w:p w:rsidR="00000000" w:rsidRPr="0078266F" w:rsidP="0078266F">
      <w:pPr>
        <w:pStyle w:val="ListBullet"/>
      </w:pPr>
      <w:r w:rsidRPr="0078266F">
        <w:t>methods for commissioning installed gaseous agent containers and actuators</w:t>
      </w:r>
    </w:p>
    <w:p w:rsidR="00000000" w:rsidRPr="0078266F" w:rsidP="0078266F">
      <w:pPr>
        <w:pStyle w:val="ListBullet"/>
      </w:pPr>
      <w:r w:rsidRPr="0078266F">
        <w:t>operating principles of actuators, activating mechanisms, d</w:t>
      </w:r>
      <w:r w:rsidRPr="0078266F">
        <w:t>ischarge valve assembly and manifold connection components</w:t>
      </w:r>
    </w:p>
    <w:p w:rsidR="00000000" w:rsidRPr="0078266F" w:rsidP="0078266F">
      <w:pPr>
        <w:pStyle w:val="ListBullet"/>
      </w:pPr>
      <w:r w:rsidRPr="0078266F">
        <w:t>purpose of auxiliary shutdown fire system and equipment</w:t>
      </w:r>
    </w:p>
    <w:p w:rsidR="00000000" w:rsidRPr="0078266F" w:rsidP="0078266F">
      <w:pPr>
        <w:pStyle w:val="ListBullet"/>
      </w:pPr>
      <w:r w:rsidRPr="0078266F">
        <w:t>purpose of safety devices and transport caps</w:t>
      </w:r>
    </w:p>
    <w:p w:rsidR="00000000" w:rsidRPr="0078266F" w:rsidP="0078266F">
      <w:pPr>
        <w:pStyle w:val="ListBullet"/>
      </w:pPr>
      <w:r w:rsidRPr="0078266F">
        <w:t xml:space="preserve">types and purpose of electrical safeguards used to protect persons and property when installing </w:t>
      </w:r>
      <w:r w:rsidRPr="0078266F">
        <w:t>gaseous agent containers and actuators</w:t>
      </w:r>
    </w:p>
    <w:p w:rsidR="00000000" w:rsidRPr="0078266F" w:rsidP="0078266F">
      <w:pPr>
        <w:pStyle w:val="ListBullet"/>
      </w:pPr>
      <w:r w:rsidRPr="0078266F">
        <w:t>types and purpose of system components and materials used when installing gaseous agent containers and actuators</w:t>
      </w:r>
    </w:p>
    <w:p w:rsidR="00000000" w:rsidRPr="0078266F" w:rsidP="0078266F">
      <w:pPr>
        <w:pStyle w:val="ListBullet"/>
      </w:pPr>
      <w:r w:rsidRPr="0078266F">
        <w:t>types and purpose of tools, equipment and materials used when installing gaseous agent containers and ac</w:t>
      </w:r>
      <w:r w:rsidRPr="0078266F">
        <w:t>tuators:</w:t>
      </w:r>
    </w:p>
    <w:p w:rsidR="00000000" w:rsidRPr="0078266F" w:rsidP="0078266F">
      <w:pPr>
        <w:pStyle w:val="ListBullet2"/>
      </w:pPr>
      <w:r w:rsidRPr="0078266F">
        <w:t>gas leakage test equipment</w:t>
      </w:r>
    </w:p>
    <w:p w:rsidR="00000000" w:rsidRPr="0078266F" w:rsidP="0078266F">
      <w:pPr>
        <w:pStyle w:val="ListBullet2"/>
      </w:pPr>
      <w:r w:rsidRPr="0078266F">
        <w:t>manual-handling aids for transporting containers</w:t>
      </w:r>
    </w:p>
    <w:p w:rsidR="00000000" w:rsidRPr="0078266F" w:rsidP="0078266F">
      <w:pPr>
        <w:pStyle w:val="ListBullet2"/>
      </w:pPr>
      <w:r w:rsidRPr="0078266F">
        <w:t>personal protective equipment (PPE)</w:t>
      </w:r>
    </w:p>
    <w:p w:rsidR="00000000" w:rsidRPr="0078266F" w:rsidP="0078266F">
      <w:pPr>
        <w:pStyle w:val="ListBullet2"/>
      </w:pPr>
      <w:r w:rsidRPr="0078266F">
        <w:t>plumbing-related hand tools, such as shifters and Stillsons</w:t>
      </w:r>
    </w:p>
    <w:p w:rsidR="00000000" w:rsidRPr="0078266F" w:rsidP="0078266F">
      <w:pPr>
        <w:pStyle w:val="ListBullet2"/>
      </w:pPr>
      <w:r w:rsidRPr="0078266F">
        <w:t>power tools: battery-powered drills and hammer drills</w:t>
      </w:r>
    </w:p>
    <w:p w:rsidR="00000000" w:rsidRPr="0078266F" w:rsidP="0078266F">
      <w:pPr>
        <w:pStyle w:val="ListBullet2"/>
      </w:pPr>
      <w:r w:rsidRPr="0078266F">
        <w:t>scales</w:t>
      </w:r>
    </w:p>
    <w:p w:rsidR="00000000" w:rsidRPr="0078266F" w:rsidP="0078266F">
      <w:pPr>
        <w:pStyle w:val="ListBullet"/>
      </w:pPr>
      <w:r w:rsidRPr="0078266F">
        <w:t>workplace requirements for installing gaseous agent containers and actuators:</w:t>
      </w:r>
    </w:p>
    <w:p w:rsidR="00000000" w:rsidRPr="0078266F" w:rsidP="0078266F">
      <w:pPr>
        <w:pStyle w:val="ListBullet2"/>
      </w:pPr>
      <w:r w:rsidRPr="0078266F">
        <w:t>maintenance of tools and equipment</w:t>
      </w:r>
    </w:p>
    <w:p w:rsidR="00000000" w:rsidRPr="0078266F" w:rsidP="0078266F">
      <w:pPr>
        <w:pStyle w:val="ListBullet2"/>
      </w:pPr>
      <w:r w:rsidRPr="0078266F">
        <w:t>quality</w:t>
      </w:r>
    </w:p>
    <w:p w:rsidR="00000000" w:rsidRPr="0078266F" w:rsidP="0078266F">
      <w:pPr>
        <w:pStyle w:val="ListBullet2"/>
      </w:pPr>
      <w:r w:rsidRPr="0078266F">
        <w:t>WHS, including hazard and risk identification and control.</w:t>
      </w:r>
    </w:p>
    <w:p w:rsidR="00000000" w:rsidRPr="0078266F" w:rsidP="0078266F">
      <w:pPr>
        <w:pStyle w:val="AllowPageBreak"/>
      </w:pPr>
    </w:p>
    <w:p w:rsidR="00000000" w:rsidRPr="0078266F" w:rsidP="0078266F">
      <w:pPr>
        <w:pStyle w:val="Heading1"/>
      </w:pPr>
      <w:bookmarkStart w:id="4" w:name="O_1163775"/>
      <w:bookmarkEnd w:id="4"/>
      <w:r w:rsidRPr="0078266F">
        <w:t>Assessment Conditions</w:t>
      </w:r>
    </w:p>
    <w:p w:rsidR="00000000" w:rsidRPr="0078266F" w:rsidP="00233C15">
      <w:pPr>
        <w:pStyle w:val="BodyText"/>
      </w:pPr>
      <w:r w:rsidRPr="0078266F">
        <w:t>Assessors must meet the requiremen</w:t>
      </w:r>
      <w:r w:rsidRPr="0078266F">
        <w:t xml:space="preserve">ts for assessors contained in the Standards for Registered Training Organisations. </w:t>
      </w:r>
    </w:p>
    <w:p w:rsidR="00000000" w:rsidRPr="0078266F" w:rsidP="00233C15">
      <w:pPr>
        <w:pStyle w:val="BodyText"/>
      </w:pPr>
      <w:r w:rsidRPr="0078266F">
        <w:t xml:space="preserve">Assessment must be conducted in the workplace or a simulated workplace using realistic conditions, materials, activities, responsibilities, procedures, safety requirements </w:t>
      </w:r>
      <w:r w:rsidRPr="0078266F">
        <w:t>and environmental considerations.</w:t>
      </w:r>
    </w:p>
    <w:p w:rsidR="00000000" w:rsidRPr="0078266F" w:rsidP="00233C15">
      <w:pPr>
        <w:pStyle w:val="BodyText"/>
      </w:pPr>
      <w:r w:rsidRPr="0078266F">
        <w:t>Candidates must have access to installation drawings and documentation, materials, tools, equipment, gaseous agent containers and actuators and installation sites required to achieve the performance evidence.</w:t>
      </w:r>
    </w:p>
    <w:p w:rsidR="00000000" w:rsidRPr="0078266F" w:rsidP="0078266F">
      <w:pPr>
        <w:pStyle w:val="Heading1"/>
      </w:pPr>
      <w:bookmarkStart w:id="5" w:name="O_1163773"/>
      <w:bookmarkEnd w:id="5"/>
      <w:r w:rsidRPr="0078266F">
        <w:t>Links</w:t>
      </w:r>
    </w:p>
    <w:p w:rsidR="00000000" w:rsidRPr="0078266F" w:rsidP="00233C15">
      <w:pPr>
        <w:pStyle w:val="BodyText"/>
      </w:pPr>
      <w:r w:rsidRPr="0078266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5492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8266F" w:rsidP="0078266F"/>
    <w:sectPr w:rsidSect="007826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6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66F" w:rsidRPr="00233C15" w:rsidP="00233C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6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C15" w:rsidP="007826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3C15" w:rsidP="007826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33C15" w:rsidP="007826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6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C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266F" w:rsidRPr="00233C15" w:rsidP="00233C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6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C15" w:rsidRPr="002D2AF8" w:rsidP="007826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CPPFES3045 Install gaseous agent containers and actuators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233C15" w:rsidP="007826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E813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0465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4A81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6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26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26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26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26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26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26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26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26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26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26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266F"/>
  </w:style>
  <w:style w:type="character" w:customStyle="1" w:styleId="Heading1Char">
    <w:name w:val="Heading 1 Char"/>
    <w:basedOn w:val="DefaultParagraphFont"/>
    <w:link w:val="Heading1"/>
    <w:rsid w:val="007826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26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26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266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8266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26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26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26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26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26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26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26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26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26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26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26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26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26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26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26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26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26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26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26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26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26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26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266F"/>
    <w:rPr>
      <w:b/>
      <w:spacing w:val="0"/>
    </w:rPr>
  </w:style>
  <w:style w:type="paragraph" w:customStyle="1" w:styleId="SuperTitle">
    <w:name w:val="SuperTitle"/>
    <w:basedOn w:val="Title"/>
    <w:rsid w:val="007826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26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26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26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26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26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26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26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26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26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26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26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266F"/>
    <w:rPr>
      <w:i/>
    </w:rPr>
  </w:style>
  <w:style w:type="paragraph" w:styleId="Caption">
    <w:name w:val="caption"/>
    <w:basedOn w:val="BodyText"/>
    <w:next w:val="Normal"/>
    <w:qFormat/>
    <w:rsid w:val="007826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26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26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266F"/>
  </w:style>
  <w:style w:type="paragraph" w:styleId="TableofFigures">
    <w:name w:val="table of figures"/>
    <w:basedOn w:val="Normal"/>
    <w:next w:val="Normal"/>
    <w:semiHidden/>
    <w:rsid w:val="007826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26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266F"/>
    <w:rPr>
      <w:rFonts w:ascii="Wingdings" w:hAnsi="Wingdings"/>
    </w:rPr>
  </w:style>
  <w:style w:type="paragraph" w:customStyle="1" w:styleId="TableHeading">
    <w:name w:val="Table Heading"/>
    <w:basedOn w:val="HeadingBase"/>
    <w:rsid w:val="007826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266F"/>
    <w:rPr>
      <w:color w:val="0033CC"/>
      <w:u w:val="none"/>
    </w:rPr>
  </w:style>
  <w:style w:type="paragraph" w:customStyle="1" w:styleId="BodyTextRight">
    <w:name w:val="Body Text Right"/>
    <w:basedOn w:val="BodyText"/>
    <w:rsid w:val="007826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26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26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26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26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26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266F"/>
    <w:rPr>
      <w:sz w:val="32"/>
    </w:rPr>
  </w:style>
  <w:style w:type="paragraph" w:customStyle="1" w:styleId="HeadingProcedure">
    <w:name w:val="Heading Procedure"/>
    <w:basedOn w:val="HeadingBase"/>
    <w:next w:val="Normal"/>
    <w:rsid w:val="007826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266F"/>
    <w:pPr>
      <w:spacing w:before="60" w:after="60"/>
    </w:pPr>
  </w:style>
  <w:style w:type="paragraph" w:styleId="ListContinue">
    <w:name w:val="List Continue"/>
    <w:basedOn w:val="List"/>
    <w:rsid w:val="0078266F"/>
    <w:pPr>
      <w:ind w:firstLine="0"/>
    </w:pPr>
  </w:style>
  <w:style w:type="paragraph" w:customStyle="1" w:styleId="ListNote">
    <w:name w:val="List Note"/>
    <w:basedOn w:val="List"/>
    <w:rsid w:val="007826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26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26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266F"/>
    <w:rPr>
      <w:rFonts w:ascii="Courier New" w:hAnsi="Courier New"/>
    </w:rPr>
  </w:style>
  <w:style w:type="paragraph" w:customStyle="1" w:styleId="NoteBullet">
    <w:name w:val="Note Bullet"/>
    <w:basedOn w:val="Note"/>
    <w:rsid w:val="007826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26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26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26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26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26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26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266F"/>
    <w:rPr>
      <w:b/>
      <w:smallCaps/>
    </w:rPr>
  </w:style>
  <w:style w:type="paragraph" w:customStyle="1" w:styleId="TableListNumber">
    <w:name w:val="Table List Number"/>
    <w:basedOn w:val="ListNumber"/>
    <w:rsid w:val="007826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26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266F"/>
    <w:pPr>
      <w:numPr>
        <w:numId w:val="9"/>
      </w:numPr>
    </w:pPr>
  </w:style>
  <w:style w:type="paragraph" w:customStyle="1" w:styleId="ListAlpha2">
    <w:name w:val="List Alpha 2"/>
    <w:basedOn w:val="List2"/>
    <w:rsid w:val="0078266F"/>
    <w:pPr>
      <w:numPr>
        <w:numId w:val="8"/>
      </w:numPr>
    </w:pPr>
  </w:style>
  <w:style w:type="paragraph" w:styleId="List2">
    <w:name w:val="List 2"/>
    <w:basedOn w:val="BodyText"/>
    <w:rsid w:val="007826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26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26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26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26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26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266F"/>
    <w:pPr>
      <w:numPr>
        <w:numId w:val="4"/>
      </w:numPr>
    </w:pPr>
  </w:style>
  <w:style w:type="paragraph" w:styleId="ListContinue2">
    <w:name w:val="List Continue 2"/>
    <w:basedOn w:val="List2"/>
    <w:rsid w:val="0078266F"/>
    <w:pPr>
      <w:ind w:firstLine="0"/>
    </w:pPr>
  </w:style>
  <w:style w:type="paragraph" w:styleId="ListContinue3">
    <w:name w:val="List Continue 3"/>
    <w:basedOn w:val="List3"/>
    <w:rsid w:val="0078266F"/>
    <w:pPr>
      <w:ind w:left="1021" w:firstLine="0"/>
    </w:pPr>
  </w:style>
  <w:style w:type="paragraph" w:styleId="ListContinue4">
    <w:name w:val="List Continue 4"/>
    <w:basedOn w:val="List4"/>
    <w:rsid w:val="0078266F"/>
    <w:pPr>
      <w:ind w:firstLine="0"/>
    </w:pPr>
  </w:style>
  <w:style w:type="paragraph" w:styleId="ListContinue5">
    <w:name w:val="List Continue 5"/>
    <w:basedOn w:val="List5"/>
    <w:rsid w:val="0078266F"/>
    <w:pPr>
      <w:ind w:firstLine="0"/>
    </w:pPr>
  </w:style>
  <w:style w:type="paragraph" w:styleId="ListNumber3">
    <w:name w:val="List Number 3"/>
    <w:basedOn w:val="List3"/>
    <w:rsid w:val="0078266F"/>
    <w:pPr>
      <w:numPr>
        <w:numId w:val="5"/>
      </w:numPr>
    </w:pPr>
  </w:style>
  <w:style w:type="paragraph" w:styleId="ListNumber4">
    <w:name w:val="List Number 4"/>
    <w:basedOn w:val="List4"/>
    <w:rsid w:val="0078266F"/>
    <w:pPr>
      <w:numPr>
        <w:numId w:val="6"/>
      </w:numPr>
    </w:pPr>
  </w:style>
  <w:style w:type="paragraph" w:styleId="ListNumber5">
    <w:name w:val="List Number 5"/>
    <w:basedOn w:val="List5"/>
    <w:rsid w:val="0078266F"/>
    <w:pPr>
      <w:numPr>
        <w:numId w:val="7"/>
      </w:numPr>
    </w:pPr>
  </w:style>
  <w:style w:type="paragraph" w:styleId="BlockText">
    <w:name w:val="Block Text"/>
    <w:basedOn w:val="Normal"/>
    <w:rsid w:val="007826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26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266F"/>
    <w:rPr>
      <w:sz w:val="16"/>
      <w:vertAlign w:val="superscript"/>
    </w:rPr>
  </w:style>
  <w:style w:type="character" w:customStyle="1" w:styleId="Symbols">
    <w:name w:val="Symbols"/>
    <w:basedOn w:val="DefaultParagraphFont"/>
    <w:rsid w:val="0078266F"/>
    <w:rPr>
      <w:rFonts w:ascii="Symbol" w:hAnsi="Symbol"/>
    </w:rPr>
  </w:style>
  <w:style w:type="character" w:customStyle="1" w:styleId="MenuOptions">
    <w:name w:val="Menu Options"/>
    <w:basedOn w:val="DefaultParagraphFont"/>
    <w:rsid w:val="007826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266F"/>
    <w:rPr>
      <w:b/>
    </w:rPr>
  </w:style>
  <w:style w:type="character" w:customStyle="1" w:styleId="Underlined">
    <w:name w:val="Underlined"/>
    <w:basedOn w:val="DefaultParagraphFont"/>
    <w:rsid w:val="0078266F"/>
    <w:rPr>
      <w:u w:val="single"/>
    </w:rPr>
  </w:style>
  <w:style w:type="paragraph" w:customStyle="1" w:styleId="TableBodyTextRight">
    <w:name w:val="Table Body Text Right"/>
    <w:basedOn w:val="TableBodyText"/>
    <w:rsid w:val="007826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266F"/>
    <w:rPr>
      <w:sz w:val="18"/>
    </w:rPr>
  </w:style>
  <w:style w:type="paragraph" w:customStyle="1" w:styleId="BodySmallRight">
    <w:name w:val="Body Small Right"/>
    <w:basedOn w:val="BodyTextRight"/>
    <w:rsid w:val="0078266F"/>
    <w:rPr>
      <w:sz w:val="18"/>
      <w:szCs w:val="18"/>
    </w:rPr>
  </w:style>
  <w:style w:type="paragraph" w:customStyle="1" w:styleId="MarginEdition">
    <w:name w:val="Margin Edition"/>
    <w:basedOn w:val="MarginNote"/>
    <w:rsid w:val="007826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266F"/>
    <w:rPr>
      <w:sz w:val="2"/>
      <w:szCs w:val="2"/>
    </w:rPr>
  </w:style>
  <w:style w:type="character" w:customStyle="1" w:styleId="Small">
    <w:name w:val="Small"/>
    <w:basedOn w:val="DefaultParagraphFont"/>
    <w:rsid w:val="0078266F"/>
    <w:rPr>
      <w:sz w:val="16"/>
    </w:rPr>
  </w:style>
  <w:style w:type="paragraph" w:customStyle="1" w:styleId="WideTable">
    <w:name w:val="Wide Table"/>
    <w:basedOn w:val="Normal"/>
    <w:rsid w:val="007826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266F"/>
  </w:style>
  <w:style w:type="paragraph" w:styleId="Quote">
    <w:name w:val="Quote"/>
    <w:basedOn w:val="Heading1"/>
    <w:link w:val="QuoteChar"/>
    <w:qFormat/>
    <w:rsid w:val="007826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26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266F"/>
    <w:pPr>
      <w:pageBreakBefore/>
    </w:pPr>
  </w:style>
  <w:style w:type="paragraph" w:customStyle="1" w:styleId="Border">
    <w:name w:val="Border"/>
    <w:basedOn w:val="Normal"/>
    <w:qFormat/>
    <w:rsid w:val="007826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26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26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26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26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26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26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26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26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266F"/>
    <w:rPr>
      <w:u w:val="single"/>
    </w:rPr>
  </w:style>
  <w:style w:type="character" w:customStyle="1" w:styleId="BoldandItalics">
    <w:name w:val="Bold and Italics"/>
    <w:qFormat/>
    <w:rsid w:val="0078266F"/>
    <w:rPr>
      <w:b/>
      <w:i/>
      <w:u w:val="none"/>
    </w:rPr>
  </w:style>
  <w:style w:type="paragraph" w:styleId="BalloonText">
    <w:name w:val="Balloon Text"/>
    <w:basedOn w:val="Normal"/>
    <w:link w:val="BalloonTextChar"/>
    <w:rsid w:val="007826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26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26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26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26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26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266F"/>
    <w:pPr>
      <w:spacing w:before="0" w:after="0"/>
    </w:pPr>
  </w:style>
  <w:style w:type="paragraph" w:customStyle="1" w:styleId="BodyTextBold">
    <w:name w:val="Body Text Bold"/>
    <w:basedOn w:val="BodyText"/>
    <w:qFormat/>
    <w:rsid w:val="0078266F"/>
    <w:rPr>
      <w:b/>
    </w:rPr>
  </w:style>
  <w:style w:type="character" w:styleId="Hyperlink">
    <w:name w:val="Hyperlink"/>
    <w:basedOn w:val="DefaultParagraphFont"/>
    <w:uiPriority w:val="99"/>
    <w:unhideWhenUsed/>
    <w:rsid w:val="00233C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458</Words>
  <Characters>3134</Characters>
  <Application>Microsoft Office Word</Application>
  <DocSecurity>0</DocSecurity>
  <Lines>74</Lines>
  <Paragraphs>51</Paragraphs>
  <ScaleCrop>false</ScaleCrop>
  <Company>Author-it Software Corporation Ltd.</Company>
  <LinksUpToDate>false</LinksUpToDate>
  <CharactersWithSpaces>3541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CPPFES3045 Install gaseous agent containers and actuators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2022-12-19T06:35:00Z</dcterms:created>
  <dcterms:modified xsi:type="dcterms:W3CDTF">2022-12-19T06:35:00Z</dcterms:modified>
</cp:coreProperties>
</file>