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DBD" w:rsidP="00132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CPPFES3044 Interpret installation requirements for gaseous fire-suppression systems</w:t>
      </w:r>
      <w:r>
        <w:fldChar w:fldCharType="end"/>
      </w:r>
    </w:p>
    <w:p w:rsidR="00132DBD" w:rsidP="00132DBD">
      <w:pPr>
        <w:pStyle w:val="Version"/>
        <w:sectPr w:rsidSect="00497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4E5" w:rsidP="004974E5">
      <w:pPr>
        <w:pStyle w:val="SuperHeading"/>
      </w:pPr>
      <w:r w:rsidRPr="004974E5">
        <w:t>Assessment Requirements for CPPFES3044 Interpret installation requirements for gaseous fire-suppression systems</w:t>
      </w:r>
    </w:p>
    <w:p w:rsidR="00000000" w:rsidRPr="004974E5" w:rsidP="004974E5">
      <w:pPr>
        <w:pStyle w:val="Heading1"/>
      </w:pPr>
      <w:bookmarkStart w:id="1" w:name="O_1163757"/>
      <w:bookmarkEnd w:id="1"/>
      <w:r w:rsidRPr="004974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4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4E5">
            <w:pPr>
              <w:pStyle w:val="BodyText"/>
              <w:rPr>
                <w:lang w:val="en-NZ"/>
              </w:rPr>
            </w:pPr>
            <w:r w:rsidRPr="004974E5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4E5" w:rsidP="004974E5">
            <w:pPr>
              <w:pStyle w:val="BodyText"/>
            </w:pPr>
            <w:r w:rsidRPr="004974E5">
              <w:t>This version first released with CPP Property Services Training Package Release 13.0.</w:t>
            </w:r>
          </w:p>
          <w:p w:rsidR="00000000" w:rsidRPr="004974E5" w:rsidP="004974E5">
            <w:pPr>
              <w:pStyle w:val="BodyText"/>
            </w:pPr>
            <w:r w:rsidRPr="004974E5">
              <w:t>Supersedes and is equivalent to CPPFES3044A Interpret installation requirements for gaseous fire-suppression systems.  Unit updated to meet the Standards for Training Packages 2012.</w:t>
            </w:r>
          </w:p>
        </w:tc>
      </w:tr>
    </w:tbl>
    <w:p w:rsidR="00000000" w:rsidRPr="004974E5" w:rsidP="004974E5">
      <w:pPr>
        <w:pStyle w:val="BodyText"/>
      </w:pPr>
    </w:p>
    <w:p w:rsidR="00000000" w:rsidRPr="004974E5" w:rsidP="004974E5">
      <w:pPr>
        <w:pStyle w:val="AllowPageBreak"/>
      </w:pPr>
    </w:p>
    <w:p w:rsidR="00000000" w:rsidRPr="004974E5" w:rsidP="004974E5">
      <w:pPr>
        <w:pStyle w:val="Heading1"/>
      </w:pPr>
      <w:bookmarkStart w:id="2" w:name="O_1163760"/>
      <w:bookmarkEnd w:id="2"/>
      <w:r w:rsidRPr="004974E5">
        <w:t>Performance Evidence</w:t>
      </w:r>
    </w:p>
    <w:p w:rsidR="00000000" w:rsidRPr="004974E5" w:rsidP="00132DBD">
      <w:pPr>
        <w:pStyle w:val="BodyText"/>
      </w:pPr>
      <w:r w:rsidRPr="004974E5">
        <w:t>To demonstrate competency, a can</w:t>
      </w:r>
      <w:r w:rsidRPr="004974E5">
        <w:t>didate must meet the elements and performance criteria of this unit by interpreting installation requirements for two different gaseous fire-suppression systems, including for each:</w:t>
      </w:r>
    </w:p>
    <w:p w:rsidR="00000000" w:rsidRPr="004974E5" w:rsidP="004974E5">
      <w:pPr>
        <w:pStyle w:val="ListBullet"/>
      </w:pPr>
      <w:r w:rsidRPr="004974E5">
        <w:t>confirming the amendment status and currency of drawings</w:t>
      </w:r>
    </w:p>
    <w:p w:rsidR="00000000" w:rsidRPr="004974E5" w:rsidP="004974E5">
      <w:pPr>
        <w:pStyle w:val="ListBullet"/>
      </w:pPr>
      <w:r w:rsidRPr="004974E5">
        <w:t>correctly orient</w:t>
      </w:r>
      <w:r w:rsidRPr="004974E5">
        <w:t>ating drawings to the ground</w:t>
      </w:r>
    </w:p>
    <w:p w:rsidR="00000000" w:rsidRPr="004974E5" w:rsidP="004974E5">
      <w:pPr>
        <w:pStyle w:val="ListBullet"/>
      </w:pPr>
      <w:r w:rsidRPr="004974E5">
        <w:t>identifying six key features on a drawing and the actual features at the worksite</w:t>
      </w:r>
    </w:p>
    <w:p w:rsidR="00000000" w:rsidRPr="004974E5" w:rsidP="004974E5">
      <w:pPr>
        <w:pStyle w:val="ListBullet"/>
      </w:pPr>
      <w:r w:rsidRPr="004974E5">
        <w:t>confirming six items of information from the title block of the installation drawings</w:t>
      </w:r>
    </w:p>
    <w:p w:rsidR="00000000" w:rsidRPr="004974E5" w:rsidP="004974E5">
      <w:pPr>
        <w:pStyle w:val="ListBullet"/>
      </w:pPr>
      <w:r w:rsidRPr="004974E5">
        <w:t>identifying six construction dimensions, levels and locatio</w:t>
      </w:r>
      <w:r w:rsidRPr="004974E5">
        <w:t>ns from installation drawings</w:t>
      </w:r>
    </w:p>
    <w:p w:rsidR="00000000" w:rsidRPr="004974E5" w:rsidP="004974E5">
      <w:pPr>
        <w:pStyle w:val="ListBullet"/>
      </w:pPr>
      <w:r w:rsidRPr="004974E5">
        <w:t>identifying six ancillary works dimensions, levels and locations from installation drawings</w:t>
      </w:r>
    </w:p>
    <w:p w:rsidR="00000000" w:rsidRPr="004974E5" w:rsidP="004974E5">
      <w:pPr>
        <w:pStyle w:val="ListBullet"/>
      </w:pPr>
      <w:r w:rsidRPr="004974E5">
        <w:t>identifying dimensions, material requirements and processes to be followed from formal job specifications.</w:t>
      </w:r>
    </w:p>
    <w:p w:rsidR="00000000" w:rsidRPr="004974E5" w:rsidP="004974E5">
      <w:pPr>
        <w:pStyle w:val="AllowPageBreak"/>
      </w:pPr>
    </w:p>
    <w:p w:rsidR="00000000" w:rsidRPr="004974E5" w:rsidP="004974E5">
      <w:pPr>
        <w:pStyle w:val="Heading1"/>
      </w:pPr>
      <w:bookmarkStart w:id="3" w:name="O_1163759"/>
      <w:bookmarkEnd w:id="3"/>
      <w:r w:rsidRPr="004974E5">
        <w:t>Knowledge Evidence</w:t>
      </w:r>
    </w:p>
    <w:p w:rsidR="00000000" w:rsidRPr="004974E5" w:rsidP="00132DBD">
      <w:pPr>
        <w:pStyle w:val="BodyText"/>
      </w:pPr>
      <w:r w:rsidRPr="004974E5">
        <w:t>To be competent in this unit, a candidate must demonstrate knowledge of:</w:t>
      </w:r>
    </w:p>
    <w:p w:rsidR="00000000" w:rsidRPr="004974E5" w:rsidP="004974E5">
      <w:pPr>
        <w:pStyle w:val="ListBullet"/>
      </w:pPr>
      <w:r w:rsidRPr="004974E5">
        <w:t>basic construction terminology used in installation drawings for gaseous fire-suppression systems</w:t>
      </w:r>
    </w:p>
    <w:p w:rsidR="00000000" w:rsidRPr="004974E5" w:rsidP="004974E5">
      <w:pPr>
        <w:pStyle w:val="ListBullet"/>
      </w:pPr>
      <w:r w:rsidRPr="004974E5">
        <w:t>compliance requirements of relevant regulations and Australian St</w:t>
      </w:r>
      <w:r w:rsidRPr="004974E5">
        <w:t>andards associated with the installation of gaseous fire-suppression systems:</w:t>
      </w:r>
    </w:p>
    <w:p w:rsidR="00000000" w:rsidRPr="004974E5" w:rsidP="004974E5">
      <w:pPr>
        <w:pStyle w:val="ListBullet2"/>
      </w:pPr>
      <w:r w:rsidRPr="004974E5">
        <w:t>gaseous fire extinguishing systems</w:t>
      </w:r>
    </w:p>
    <w:p w:rsidR="00000000" w:rsidRPr="004974E5" w:rsidP="004974E5">
      <w:pPr>
        <w:pStyle w:val="ListBullet2"/>
      </w:pPr>
      <w:r w:rsidRPr="004974E5">
        <w:t>licensing related to the installation of ozone depleting substances (ODS) and synthetic greenhouse gases (SGG)</w:t>
      </w:r>
    </w:p>
    <w:p w:rsidR="00000000" w:rsidRPr="004974E5" w:rsidP="004974E5">
      <w:pPr>
        <w:pStyle w:val="ListBullet"/>
      </w:pPr>
      <w:r w:rsidRPr="004974E5">
        <w:t>drawing conventions</w:t>
      </w:r>
    </w:p>
    <w:p w:rsidR="00000000" w:rsidRPr="004974E5" w:rsidP="004974E5">
      <w:pPr>
        <w:pStyle w:val="ListBullet"/>
      </w:pPr>
      <w:r w:rsidRPr="004974E5">
        <w:t>features o</w:t>
      </w:r>
      <w:r w:rsidRPr="004974E5">
        <w:t>f drawings, plans and elevations:</w:t>
      </w:r>
    </w:p>
    <w:p w:rsidR="00000000" w:rsidRPr="004974E5" w:rsidP="004974E5">
      <w:pPr>
        <w:pStyle w:val="ListBullet2"/>
      </w:pPr>
      <w:r w:rsidRPr="004974E5">
        <w:t>abbreviations</w:t>
      </w:r>
    </w:p>
    <w:p w:rsidR="00000000" w:rsidRPr="004974E5" w:rsidP="004974E5">
      <w:pPr>
        <w:pStyle w:val="ListBullet2"/>
      </w:pPr>
      <w:r w:rsidRPr="004974E5">
        <w:t>contours</w:t>
      </w:r>
    </w:p>
    <w:p w:rsidR="00000000" w:rsidRPr="004974E5" w:rsidP="004974E5">
      <w:pPr>
        <w:pStyle w:val="ListBullet2"/>
      </w:pPr>
      <w:r w:rsidRPr="004974E5">
        <w:t>direction</w:t>
      </w:r>
    </w:p>
    <w:p w:rsidR="00000000" w:rsidRPr="004974E5" w:rsidP="004974E5">
      <w:pPr>
        <w:pStyle w:val="ListBullet2"/>
      </w:pPr>
      <w:r w:rsidRPr="004974E5">
        <w:t>key</w:t>
      </w:r>
    </w:p>
    <w:p w:rsidR="00000000" w:rsidRPr="004974E5" w:rsidP="004974E5">
      <w:pPr>
        <w:pStyle w:val="ListBullet2"/>
      </w:pPr>
      <w:r w:rsidRPr="004974E5">
        <w:t>scale</w:t>
      </w:r>
    </w:p>
    <w:p w:rsidR="00000000" w:rsidRPr="004974E5" w:rsidP="004974E5">
      <w:pPr>
        <w:pStyle w:val="ListBullet2"/>
      </w:pPr>
      <w:r w:rsidRPr="004974E5">
        <w:t>symbols</w:t>
      </w:r>
    </w:p>
    <w:p w:rsidR="00000000" w:rsidRPr="004974E5" w:rsidP="004974E5">
      <w:pPr>
        <w:pStyle w:val="ListBullet"/>
      </w:pPr>
      <w:r w:rsidRPr="004974E5">
        <w:t>key features of installation sites to be noted in relation to installation drawings:</w:t>
      </w:r>
    </w:p>
    <w:p w:rsidR="00000000" w:rsidRPr="004974E5" w:rsidP="004974E5">
      <w:pPr>
        <w:pStyle w:val="ListBullet2"/>
      </w:pPr>
      <w:r w:rsidRPr="004974E5">
        <w:t>clearance distances</w:t>
      </w:r>
    </w:p>
    <w:p w:rsidR="00000000" w:rsidRPr="004974E5" w:rsidP="004974E5">
      <w:pPr>
        <w:pStyle w:val="ListBullet2"/>
      </w:pPr>
      <w:r w:rsidRPr="004974E5">
        <w:t>dimensions</w:t>
      </w:r>
    </w:p>
    <w:p w:rsidR="00000000" w:rsidRPr="004974E5" w:rsidP="004974E5">
      <w:pPr>
        <w:pStyle w:val="ListBullet2"/>
      </w:pPr>
      <w:r w:rsidRPr="004974E5">
        <w:t>existing buildings and structures</w:t>
      </w:r>
    </w:p>
    <w:p w:rsidR="00000000" w:rsidRPr="004974E5" w:rsidP="004974E5">
      <w:pPr>
        <w:pStyle w:val="ListBullet2"/>
      </w:pPr>
      <w:r w:rsidRPr="004974E5">
        <w:t>locations of plant and equipment</w:t>
      </w:r>
    </w:p>
    <w:p w:rsidR="00000000" w:rsidRPr="004974E5" w:rsidP="004974E5">
      <w:pPr>
        <w:pStyle w:val="ListBullet2"/>
      </w:pPr>
      <w:r w:rsidRPr="004974E5">
        <w:t>locations of services</w:t>
      </w:r>
    </w:p>
    <w:p w:rsidR="00000000" w:rsidRPr="004974E5" w:rsidP="004974E5">
      <w:pPr>
        <w:pStyle w:val="ListBullet2"/>
      </w:pPr>
      <w:r w:rsidRPr="004974E5">
        <w:t>roads and railways</w:t>
      </w:r>
    </w:p>
    <w:p w:rsidR="00000000" w:rsidRPr="004974E5" w:rsidP="004974E5">
      <w:pPr>
        <w:pStyle w:val="ListBullet2"/>
      </w:pPr>
      <w:r w:rsidRPr="004974E5">
        <w:t>service layouts and requirements</w:t>
      </w:r>
    </w:p>
    <w:p w:rsidR="00000000" w:rsidRPr="004974E5" w:rsidP="004974E5">
      <w:pPr>
        <w:pStyle w:val="ListBullet2"/>
      </w:pPr>
      <w:r w:rsidRPr="004974E5">
        <w:t>shapes of structures or buildings</w:t>
      </w:r>
    </w:p>
    <w:p w:rsidR="00000000" w:rsidRPr="004974E5" w:rsidP="004974E5">
      <w:pPr>
        <w:pStyle w:val="ListBullet2"/>
      </w:pPr>
      <w:r w:rsidRPr="004974E5">
        <w:t>site shape and orientation</w:t>
      </w:r>
    </w:p>
    <w:p w:rsidR="00000000" w:rsidRPr="004974E5" w:rsidP="004974E5">
      <w:pPr>
        <w:pStyle w:val="ListBullet2"/>
      </w:pPr>
      <w:r w:rsidRPr="004974E5">
        <w:t>vertical and horizontal measurements</w:t>
      </w:r>
    </w:p>
    <w:p w:rsidR="00000000" w:rsidRPr="004974E5" w:rsidP="004974E5">
      <w:pPr>
        <w:pStyle w:val="ListBullet"/>
      </w:pPr>
      <w:r w:rsidRPr="004974E5">
        <w:t>key functions of drawing types:</w:t>
      </w:r>
    </w:p>
    <w:p w:rsidR="00000000" w:rsidRPr="004974E5" w:rsidP="004974E5">
      <w:pPr>
        <w:pStyle w:val="ListBullet2"/>
      </w:pPr>
      <w:r w:rsidRPr="004974E5">
        <w:t>details of hazard</w:t>
      </w:r>
      <w:r w:rsidRPr="004974E5">
        <w:t>:</w:t>
      </w:r>
    </w:p>
    <w:p w:rsidR="00000000" w:rsidRPr="004974E5" w:rsidP="004974E5">
      <w:pPr>
        <w:pStyle w:val="ListBullet3"/>
      </w:pPr>
      <w:r w:rsidRPr="004974E5">
        <w:t>dimensions</w:t>
      </w:r>
    </w:p>
    <w:p w:rsidR="00000000" w:rsidRPr="004974E5" w:rsidP="004974E5">
      <w:pPr>
        <w:pStyle w:val="ListBullet3"/>
      </w:pPr>
      <w:r w:rsidRPr="004974E5">
        <w:t>number of exits</w:t>
      </w:r>
    </w:p>
    <w:p w:rsidR="00000000" w:rsidRPr="004974E5" w:rsidP="004974E5">
      <w:pPr>
        <w:pStyle w:val="ListBullet3"/>
      </w:pPr>
      <w:r w:rsidRPr="004974E5">
        <w:t>volumes</w:t>
      </w:r>
    </w:p>
    <w:p w:rsidR="00000000" w:rsidRPr="004974E5" w:rsidP="004974E5">
      <w:pPr>
        <w:pStyle w:val="ListBullet2"/>
      </w:pPr>
      <w:r w:rsidRPr="004974E5">
        <w:t xml:space="preserve">equipment details: </w:t>
      </w:r>
    </w:p>
    <w:p w:rsidR="00000000" w:rsidRPr="004974E5" w:rsidP="004974E5">
      <w:pPr>
        <w:pStyle w:val="ListBullet3"/>
      </w:pPr>
      <w:r w:rsidRPr="004974E5">
        <w:t>container fill and size</w:t>
      </w:r>
    </w:p>
    <w:p w:rsidR="00000000" w:rsidRPr="004974E5" w:rsidP="004974E5">
      <w:pPr>
        <w:pStyle w:val="ListBullet3"/>
      </w:pPr>
      <w:r w:rsidRPr="004974E5">
        <w:t>manufacturers’ type</w:t>
      </w:r>
    </w:p>
    <w:p w:rsidR="00000000" w:rsidRPr="004974E5" w:rsidP="004974E5">
      <w:pPr>
        <w:pStyle w:val="ListBullet3"/>
      </w:pPr>
      <w:r w:rsidRPr="004974E5">
        <w:t>nozzle size and orifice</w:t>
      </w:r>
    </w:p>
    <w:p w:rsidR="00000000" w:rsidRPr="004974E5" w:rsidP="004974E5">
      <w:pPr>
        <w:pStyle w:val="ListBullet3"/>
      </w:pPr>
      <w:r w:rsidRPr="004974E5">
        <w:t>actuator type</w:t>
      </w:r>
    </w:p>
    <w:p w:rsidR="00000000" w:rsidRPr="004974E5" w:rsidP="004974E5">
      <w:pPr>
        <w:pStyle w:val="ListBullet2"/>
      </w:pPr>
      <w:r w:rsidRPr="004974E5">
        <w:t>general layout of equipment</w:t>
      </w:r>
    </w:p>
    <w:p w:rsidR="00000000" w:rsidRPr="004974E5" w:rsidP="004974E5">
      <w:pPr>
        <w:pStyle w:val="ListBullet2"/>
      </w:pPr>
      <w:r w:rsidRPr="004974E5">
        <w:t>location of key equipment:</w:t>
      </w:r>
    </w:p>
    <w:p w:rsidR="00000000" w:rsidRPr="004974E5" w:rsidP="004974E5">
      <w:pPr>
        <w:pStyle w:val="ListBullet3"/>
      </w:pPr>
      <w:r w:rsidRPr="004974E5">
        <w:t>containers</w:t>
      </w:r>
    </w:p>
    <w:p w:rsidR="00000000" w:rsidRPr="004974E5" w:rsidP="004974E5">
      <w:pPr>
        <w:pStyle w:val="ListBullet3"/>
      </w:pPr>
      <w:r w:rsidRPr="004974E5">
        <w:t>local control station</w:t>
      </w:r>
    </w:p>
    <w:p w:rsidR="00000000" w:rsidRPr="004974E5" w:rsidP="004974E5">
      <w:pPr>
        <w:pStyle w:val="ListBullet3"/>
      </w:pPr>
      <w:r w:rsidRPr="004974E5">
        <w:t>nozzles</w:t>
      </w:r>
    </w:p>
    <w:p w:rsidR="00000000" w:rsidRPr="004974E5" w:rsidP="004974E5">
      <w:pPr>
        <w:pStyle w:val="ListBullet3"/>
      </w:pPr>
      <w:r w:rsidRPr="004974E5">
        <w:t>pipework</w:t>
      </w:r>
    </w:p>
    <w:p w:rsidR="00000000" w:rsidRPr="004974E5" w:rsidP="004974E5">
      <w:pPr>
        <w:pStyle w:val="ListBullet"/>
      </w:pPr>
      <w:r w:rsidRPr="004974E5">
        <w:t>main users of different types of installation drawings:</w:t>
      </w:r>
    </w:p>
    <w:p w:rsidR="00000000" w:rsidRPr="004974E5" w:rsidP="004974E5">
      <w:pPr>
        <w:pStyle w:val="ListBullet2"/>
      </w:pPr>
      <w:r w:rsidRPr="004974E5">
        <w:t>‘for approval’ drawings</w:t>
      </w:r>
    </w:p>
    <w:p w:rsidR="00000000" w:rsidRPr="004974E5" w:rsidP="004974E5">
      <w:pPr>
        <w:pStyle w:val="ListBullet2"/>
      </w:pPr>
      <w:r w:rsidRPr="004974E5">
        <w:t>‘for construction’ drawings</w:t>
      </w:r>
    </w:p>
    <w:p w:rsidR="00000000" w:rsidRPr="004974E5" w:rsidP="004974E5">
      <w:pPr>
        <w:pStyle w:val="ListBullet2"/>
      </w:pPr>
      <w:r w:rsidRPr="004974E5">
        <w:t>‘as-built’ or ‘as-installed’ drawings</w:t>
      </w:r>
    </w:p>
    <w:p w:rsidR="00000000" w:rsidRPr="004974E5" w:rsidP="004974E5">
      <w:pPr>
        <w:pStyle w:val="ListBullet"/>
      </w:pPr>
      <w:r w:rsidRPr="004974E5">
        <w:t>mathematical techniques for calculating scale, height, area, volume and grade on drawings and plans</w:t>
      </w:r>
    </w:p>
    <w:p w:rsidR="00000000" w:rsidRPr="004974E5" w:rsidP="004974E5">
      <w:pPr>
        <w:pStyle w:val="ListBullet"/>
      </w:pPr>
      <w:r w:rsidRPr="004974E5">
        <w:t xml:space="preserve">purpose </w:t>
      </w:r>
      <w:r w:rsidRPr="004974E5">
        <w:t>and typical contents of installation specifications for gaseous fire-suppression systems</w:t>
      </w:r>
    </w:p>
    <w:p w:rsidR="00000000" w:rsidRPr="004974E5" w:rsidP="004974E5">
      <w:pPr>
        <w:pStyle w:val="ListBullet"/>
      </w:pPr>
      <w:r w:rsidRPr="004974E5">
        <w:t>techniques for orientating drawings and plans to the worksite and finding true north</w:t>
      </w:r>
    </w:p>
    <w:p w:rsidR="00000000" w:rsidRPr="004974E5" w:rsidP="004974E5">
      <w:pPr>
        <w:pStyle w:val="ListBullet"/>
      </w:pPr>
      <w:r w:rsidRPr="004974E5">
        <w:t>workplace quality requirements to be applied when interpreting installation requirements for gaseous fire-suppression systems.</w:t>
      </w:r>
    </w:p>
    <w:p w:rsidR="00000000" w:rsidRPr="004974E5" w:rsidP="004974E5">
      <w:pPr>
        <w:pStyle w:val="AllowPageBreak"/>
      </w:pPr>
    </w:p>
    <w:p w:rsidR="00000000" w:rsidRPr="004974E5" w:rsidP="004974E5">
      <w:pPr>
        <w:pStyle w:val="Heading1"/>
      </w:pPr>
      <w:bookmarkStart w:id="4" w:name="O_1163758"/>
      <w:bookmarkEnd w:id="4"/>
      <w:r w:rsidRPr="004974E5">
        <w:t>Assessment Conditions</w:t>
      </w:r>
    </w:p>
    <w:p w:rsidR="00000000" w:rsidRPr="004974E5" w:rsidP="00132DBD">
      <w:pPr>
        <w:pStyle w:val="BodyText"/>
      </w:pPr>
      <w:r w:rsidRPr="004974E5">
        <w:t>Assessors must meet the requirements for assessors contained in the Standards for Regist</w:t>
      </w:r>
      <w:r w:rsidRPr="004974E5">
        <w:t xml:space="preserve">ered Training Organisations. </w:t>
      </w:r>
    </w:p>
    <w:p w:rsidR="00000000" w:rsidRPr="004974E5" w:rsidP="00132DBD">
      <w:pPr>
        <w:pStyle w:val="BodyText"/>
      </w:pPr>
      <w:r w:rsidRPr="004974E5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4974E5" w:rsidP="00132DBD">
      <w:pPr>
        <w:pStyle w:val="BodyText"/>
      </w:pPr>
      <w:r w:rsidRPr="004974E5">
        <w:t>Candidates must have</w:t>
      </w:r>
      <w:r w:rsidRPr="004974E5">
        <w:t xml:space="preserve"> access to design documentation, drawings, measuring tools and equipment and installation sites required to achieve the performance evidence.</w:t>
      </w:r>
    </w:p>
    <w:p w:rsidR="00000000" w:rsidRPr="004974E5" w:rsidP="004974E5">
      <w:pPr>
        <w:pStyle w:val="Heading1"/>
      </w:pPr>
      <w:bookmarkStart w:id="5" w:name="O_1163756"/>
      <w:bookmarkEnd w:id="5"/>
      <w:r w:rsidRPr="004974E5">
        <w:t>Links</w:t>
      </w:r>
    </w:p>
    <w:p w:rsidR="00000000" w:rsidRPr="004974E5" w:rsidP="00132DBD">
      <w:pPr>
        <w:pStyle w:val="BodyText"/>
      </w:pPr>
      <w:r w:rsidRPr="004974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2363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974E5" w:rsidP="004974E5"/>
    <w:sectPr w:rsidSect="00497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E5" w:rsidRPr="00132DBD" w:rsidP="00132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BD" w:rsidP="00497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DBD" w:rsidP="00497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32DBD" w:rsidP="00497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4E5" w:rsidRPr="00132DBD" w:rsidP="00132D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BD" w:rsidRPr="002D2AF8" w:rsidP="00497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CPPFES3044 Interpret installation requirements for gaseous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32DBD" w:rsidP="00497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C66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682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38F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4E5"/>
  </w:style>
  <w:style w:type="character" w:customStyle="1" w:styleId="Heading1Char">
    <w:name w:val="Heading 1 Char"/>
    <w:basedOn w:val="DefaultParagraphFont"/>
    <w:link w:val="Heading1"/>
    <w:rsid w:val="00497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4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74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74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7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74E5"/>
    <w:rPr>
      <w:b/>
      <w:spacing w:val="0"/>
    </w:rPr>
  </w:style>
  <w:style w:type="paragraph" w:customStyle="1" w:styleId="SuperTitle">
    <w:name w:val="SuperTitle"/>
    <w:basedOn w:val="Title"/>
    <w:rsid w:val="00497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4E5"/>
    <w:rPr>
      <w:i/>
    </w:rPr>
  </w:style>
  <w:style w:type="paragraph" w:styleId="Caption">
    <w:name w:val="caption"/>
    <w:basedOn w:val="BodyText"/>
    <w:next w:val="Normal"/>
    <w:qFormat/>
    <w:rsid w:val="00497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4E5"/>
  </w:style>
  <w:style w:type="paragraph" w:styleId="TableofFigures">
    <w:name w:val="table of figures"/>
    <w:basedOn w:val="Normal"/>
    <w:next w:val="Normal"/>
    <w:semiHidden/>
    <w:rsid w:val="00497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4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74E5"/>
    <w:rPr>
      <w:rFonts w:ascii="Wingdings" w:hAnsi="Wingdings"/>
    </w:rPr>
  </w:style>
  <w:style w:type="paragraph" w:customStyle="1" w:styleId="TableHeading">
    <w:name w:val="Table Heading"/>
    <w:basedOn w:val="HeadingBase"/>
    <w:rsid w:val="00497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4E5"/>
    <w:rPr>
      <w:color w:val="0033CC"/>
      <w:u w:val="none"/>
    </w:rPr>
  </w:style>
  <w:style w:type="paragraph" w:customStyle="1" w:styleId="BodyTextRight">
    <w:name w:val="Body Text Right"/>
    <w:basedOn w:val="BodyText"/>
    <w:rsid w:val="00497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4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4E5"/>
    <w:rPr>
      <w:sz w:val="32"/>
    </w:rPr>
  </w:style>
  <w:style w:type="paragraph" w:customStyle="1" w:styleId="HeadingProcedure">
    <w:name w:val="Heading Procedure"/>
    <w:basedOn w:val="HeadingBase"/>
    <w:next w:val="Normal"/>
    <w:rsid w:val="00497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4E5"/>
    <w:pPr>
      <w:spacing w:before="60" w:after="60"/>
    </w:pPr>
  </w:style>
  <w:style w:type="paragraph" w:styleId="ListContinue">
    <w:name w:val="List Continue"/>
    <w:basedOn w:val="List"/>
    <w:rsid w:val="004974E5"/>
    <w:pPr>
      <w:ind w:firstLine="0"/>
    </w:pPr>
  </w:style>
  <w:style w:type="paragraph" w:customStyle="1" w:styleId="ListNote">
    <w:name w:val="List Note"/>
    <w:basedOn w:val="List"/>
    <w:rsid w:val="00497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4E5"/>
    <w:rPr>
      <w:rFonts w:ascii="Courier New" w:hAnsi="Courier New"/>
    </w:rPr>
  </w:style>
  <w:style w:type="paragraph" w:customStyle="1" w:styleId="NoteBullet">
    <w:name w:val="Note Bullet"/>
    <w:basedOn w:val="Note"/>
    <w:rsid w:val="00497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4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7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4E5"/>
    <w:rPr>
      <w:b/>
      <w:smallCaps/>
    </w:rPr>
  </w:style>
  <w:style w:type="paragraph" w:customStyle="1" w:styleId="TableListNumber">
    <w:name w:val="Table List Number"/>
    <w:basedOn w:val="ListNumber"/>
    <w:rsid w:val="00497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4E5"/>
    <w:pPr>
      <w:numPr>
        <w:numId w:val="10"/>
      </w:numPr>
    </w:pPr>
  </w:style>
  <w:style w:type="paragraph" w:customStyle="1" w:styleId="ListAlpha2">
    <w:name w:val="List Alpha 2"/>
    <w:basedOn w:val="List2"/>
    <w:rsid w:val="004974E5"/>
    <w:pPr>
      <w:numPr>
        <w:numId w:val="9"/>
      </w:numPr>
    </w:pPr>
  </w:style>
  <w:style w:type="paragraph" w:styleId="List2">
    <w:name w:val="List 2"/>
    <w:basedOn w:val="BodyText"/>
    <w:rsid w:val="00497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4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74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74E5"/>
    <w:pPr>
      <w:numPr>
        <w:numId w:val="5"/>
      </w:numPr>
    </w:pPr>
  </w:style>
  <w:style w:type="paragraph" w:styleId="ListContinue2">
    <w:name w:val="List Continue 2"/>
    <w:basedOn w:val="List2"/>
    <w:rsid w:val="004974E5"/>
    <w:pPr>
      <w:ind w:firstLine="0"/>
    </w:pPr>
  </w:style>
  <w:style w:type="paragraph" w:styleId="ListContinue3">
    <w:name w:val="List Continue 3"/>
    <w:basedOn w:val="List3"/>
    <w:rsid w:val="004974E5"/>
    <w:pPr>
      <w:ind w:left="1021" w:firstLine="0"/>
    </w:pPr>
  </w:style>
  <w:style w:type="paragraph" w:styleId="ListContinue4">
    <w:name w:val="List Continue 4"/>
    <w:basedOn w:val="List4"/>
    <w:rsid w:val="004974E5"/>
    <w:pPr>
      <w:ind w:firstLine="0"/>
    </w:pPr>
  </w:style>
  <w:style w:type="paragraph" w:styleId="ListContinue5">
    <w:name w:val="List Continue 5"/>
    <w:basedOn w:val="List5"/>
    <w:rsid w:val="004974E5"/>
    <w:pPr>
      <w:ind w:firstLine="0"/>
    </w:pPr>
  </w:style>
  <w:style w:type="paragraph" w:styleId="ListNumber3">
    <w:name w:val="List Number 3"/>
    <w:basedOn w:val="List3"/>
    <w:rsid w:val="004974E5"/>
    <w:pPr>
      <w:numPr>
        <w:numId w:val="6"/>
      </w:numPr>
    </w:pPr>
  </w:style>
  <w:style w:type="paragraph" w:styleId="ListNumber4">
    <w:name w:val="List Number 4"/>
    <w:basedOn w:val="List4"/>
    <w:rsid w:val="004974E5"/>
    <w:pPr>
      <w:numPr>
        <w:numId w:val="7"/>
      </w:numPr>
    </w:pPr>
  </w:style>
  <w:style w:type="paragraph" w:styleId="ListNumber5">
    <w:name w:val="List Number 5"/>
    <w:basedOn w:val="List5"/>
    <w:rsid w:val="004974E5"/>
    <w:pPr>
      <w:numPr>
        <w:numId w:val="8"/>
      </w:numPr>
    </w:pPr>
  </w:style>
  <w:style w:type="paragraph" w:styleId="BlockText">
    <w:name w:val="Block Text"/>
    <w:basedOn w:val="Normal"/>
    <w:rsid w:val="00497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4E5"/>
    <w:rPr>
      <w:sz w:val="16"/>
      <w:vertAlign w:val="superscript"/>
    </w:rPr>
  </w:style>
  <w:style w:type="character" w:customStyle="1" w:styleId="Symbols">
    <w:name w:val="Symbols"/>
    <w:basedOn w:val="DefaultParagraphFont"/>
    <w:rsid w:val="004974E5"/>
    <w:rPr>
      <w:rFonts w:ascii="Symbol" w:hAnsi="Symbol"/>
    </w:rPr>
  </w:style>
  <w:style w:type="character" w:customStyle="1" w:styleId="MenuOptions">
    <w:name w:val="Menu Options"/>
    <w:basedOn w:val="DefaultParagraphFont"/>
    <w:rsid w:val="00497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4E5"/>
    <w:rPr>
      <w:b/>
    </w:rPr>
  </w:style>
  <w:style w:type="character" w:customStyle="1" w:styleId="Underlined">
    <w:name w:val="Underlined"/>
    <w:basedOn w:val="DefaultParagraphFont"/>
    <w:rsid w:val="004974E5"/>
    <w:rPr>
      <w:u w:val="single"/>
    </w:rPr>
  </w:style>
  <w:style w:type="paragraph" w:customStyle="1" w:styleId="TableBodyTextRight">
    <w:name w:val="Table Body Text Right"/>
    <w:basedOn w:val="TableBodyText"/>
    <w:rsid w:val="00497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4E5"/>
    <w:rPr>
      <w:sz w:val="18"/>
    </w:rPr>
  </w:style>
  <w:style w:type="paragraph" w:customStyle="1" w:styleId="BodySmallRight">
    <w:name w:val="Body Small Right"/>
    <w:basedOn w:val="BodyTextRight"/>
    <w:rsid w:val="004974E5"/>
    <w:rPr>
      <w:sz w:val="18"/>
      <w:szCs w:val="18"/>
    </w:rPr>
  </w:style>
  <w:style w:type="paragraph" w:customStyle="1" w:styleId="MarginEdition">
    <w:name w:val="Margin Edition"/>
    <w:basedOn w:val="MarginNote"/>
    <w:rsid w:val="00497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4E5"/>
    <w:rPr>
      <w:sz w:val="2"/>
      <w:szCs w:val="2"/>
    </w:rPr>
  </w:style>
  <w:style w:type="character" w:customStyle="1" w:styleId="Small">
    <w:name w:val="Small"/>
    <w:basedOn w:val="DefaultParagraphFont"/>
    <w:rsid w:val="004974E5"/>
    <w:rPr>
      <w:sz w:val="16"/>
    </w:rPr>
  </w:style>
  <w:style w:type="paragraph" w:customStyle="1" w:styleId="WideTable">
    <w:name w:val="Wide Table"/>
    <w:basedOn w:val="Normal"/>
    <w:rsid w:val="00497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4E5"/>
  </w:style>
  <w:style w:type="paragraph" w:styleId="Quote">
    <w:name w:val="Quote"/>
    <w:basedOn w:val="Heading1"/>
    <w:link w:val="QuoteChar"/>
    <w:qFormat/>
    <w:rsid w:val="00497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4E5"/>
    <w:pPr>
      <w:pageBreakBefore/>
    </w:pPr>
  </w:style>
  <w:style w:type="paragraph" w:customStyle="1" w:styleId="Border">
    <w:name w:val="Border"/>
    <w:basedOn w:val="Normal"/>
    <w:qFormat/>
    <w:rsid w:val="00497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4E5"/>
    <w:rPr>
      <w:u w:val="single"/>
    </w:rPr>
  </w:style>
  <w:style w:type="character" w:customStyle="1" w:styleId="BoldandItalics">
    <w:name w:val="Bold and Italics"/>
    <w:qFormat/>
    <w:rsid w:val="004974E5"/>
    <w:rPr>
      <w:b/>
      <w:i/>
      <w:u w:val="none"/>
    </w:rPr>
  </w:style>
  <w:style w:type="paragraph" w:styleId="BalloonText">
    <w:name w:val="Balloon Text"/>
    <w:basedOn w:val="Normal"/>
    <w:link w:val="BalloonTextChar"/>
    <w:rsid w:val="00497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4E5"/>
    <w:pPr>
      <w:spacing w:before="0" w:after="0"/>
    </w:pPr>
  </w:style>
  <w:style w:type="paragraph" w:customStyle="1" w:styleId="BodyTextBold">
    <w:name w:val="Body Text Bold"/>
    <w:basedOn w:val="BodyText"/>
    <w:qFormat/>
    <w:rsid w:val="004974E5"/>
    <w:rPr>
      <w:b/>
    </w:rPr>
  </w:style>
  <w:style w:type="character" w:styleId="Hyperlink">
    <w:name w:val="Hyperlink"/>
    <w:basedOn w:val="DefaultParagraphFont"/>
    <w:uiPriority w:val="99"/>
    <w:unhideWhenUsed/>
    <w:rsid w:val="00132D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3488</Characters>
  <Application>Microsoft Office Word</Application>
  <DocSecurity>0</DocSecurity>
  <Lines>102</Lines>
  <Paragraphs>82</Paragraphs>
  <ScaleCrop>false</ScaleCrop>
  <Company>Author-it Software Corporation Ltd.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CPPFES3044 Interpret installation requirements for gaseous fire-suppression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