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13B" w:rsidP="00FB3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CPPFES3038 Inspect, test and maintain portable fire monitors</w:t>
      </w:r>
      <w:r>
        <w:fldChar w:fldCharType="end"/>
      </w:r>
    </w:p>
    <w:p w:rsidR="00FB313B" w:rsidP="00FB313B">
      <w:pPr>
        <w:pStyle w:val="Version"/>
        <w:sectPr w:rsidSect="00C27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FDF" w:rsidP="00C27FDF">
      <w:pPr>
        <w:pStyle w:val="SuperHeading"/>
      </w:pPr>
      <w:r w:rsidRPr="00C27FDF">
        <w:t>CPPFES3038 Inspect, test and maintain portable fire monitors</w:t>
      </w:r>
    </w:p>
    <w:p w:rsidR="00000000" w:rsidRPr="00C27FDF" w:rsidP="00C27FDF">
      <w:pPr>
        <w:pStyle w:val="Heading1"/>
      </w:pPr>
      <w:bookmarkStart w:id="1" w:name="O_1163710"/>
      <w:bookmarkEnd w:id="1"/>
      <w:r w:rsidRPr="00C27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FDF" w:rsidP="00C27FDF">
            <w:pPr>
              <w:pStyle w:val="BodyText"/>
            </w:pPr>
            <w:r w:rsidRPr="00C27FDF">
              <w:t>This version first released with CPP Property Services Training Package Release 13.0.</w:t>
            </w:r>
          </w:p>
          <w:p w:rsidR="00000000" w:rsidRPr="00C27FDF" w:rsidP="00C27FDF">
            <w:pPr>
              <w:pStyle w:val="BodyText"/>
            </w:pPr>
            <w:r w:rsidRPr="00C27FDF">
              <w:t xml:space="preserve">Supersedes and is equivalent to CPPFES3038A Inspect, test and maintain portable fire monitors.  Unit updated to meet the </w:t>
            </w:r>
            <w:r w:rsidRPr="00C27FDF">
              <w:t>Standards for Training Packages 2012.</w:t>
            </w:r>
          </w:p>
        </w:tc>
      </w:tr>
    </w:tbl>
    <w:p w:rsidR="00000000" w:rsidRPr="00C27FDF" w:rsidP="00C27FDF">
      <w:pPr>
        <w:pStyle w:val="BodyText"/>
      </w:pPr>
    </w:p>
    <w:p w:rsidR="00000000" w:rsidRPr="00C27FDF" w:rsidP="00C27FDF">
      <w:pPr>
        <w:pStyle w:val="AllowPageBreak"/>
      </w:pPr>
    </w:p>
    <w:p w:rsidR="00000000" w:rsidRPr="00C27FDF" w:rsidP="00C27FDF">
      <w:pPr>
        <w:pStyle w:val="Heading1"/>
      </w:pPr>
      <w:bookmarkStart w:id="2" w:name="O_1163716"/>
      <w:bookmarkEnd w:id="2"/>
      <w:r w:rsidRPr="00C27FDF">
        <w:t>Application</w:t>
      </w:r>
    </w:p>
    <w:p w:rsidR="00000000" w:rsidRPr="00C27FDF" w:rsidP="00FB313B">
      <w:pPr>
        <w:pStyle w:val="BodyText"/>
      </w:pPr>
      <w:r w:rsidRPr="00C27FDF">
        <w:t>This unit of competency specifies the skills and knowledge required to inspect, test and maintain portable fire monitors at client premises.</w:t>
      </w:r>
    </w:p>
    <w:p w:rsidR="00000000" w:rsidRPr="00C27FDF" w:rsidP="00FB313B">
      <w:pPr>
        <w:pStyle w:val="BodyText"/>
      </w:pPr>
      <w:r w:rsidRPr="00C27FDF">
        <w:t>The unit does not cover any installation, ma</w:t>
      </w:r>
      <w:r w:rsidRPr="00C27FDF">
        <w:t>intenance, replacement or repair functions that are restricted to licensed trades or occupations.</w:t>
      </w:r>
    </w:p>
    <w:p w:rsidR="00000000" w:rsidRPr="00C27FDF" w:rsidP="00FB313B">
      <w:pPr>
        <w:pStyle w:val="BodyText"/>
      </w:pPr>
      <w:r w:rsidRPr="00C27FDF">
        <w:t>A person who has achieved this unit of competency would be expected to take responsibility for organising and completing these tasks with a high degree of sel</w:t>
      </w:r>
      <w:r w:rsidRPr="00C27FDF">
        <w:t>f-direction.</w:t>
      </w:r>
    </w:p>
    <w:p w:rsidR="00000000" w:rsidRPr="00C27FDF" w:rsidP="00FB313B">
      <w:pPr>
        <w:pStyle w:val="BodyText"/>
      </w:pPr>
      <w:r w:rsidRPr="00C27FDF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C27FDF" w:rsidP="00C27FDF">
      <w:pPr>
        <w:pStyle w:val="Heading1"/>
      </w:pPr>
      <w:bookmarkStart w:id="3" w:name="O_1163715"/>
      <w:bookmarkEnd w:id="3"/>
      <w:r w:rsidRPr="00C27FDF">
        <w:t>Pre-requisite Unit</w:t>
      </w:r>
    </w:p>
    <w:p w:rsidR="00000000" w:rsidRPr="00C27FDF" w:rsidP="00FB313B">
      <w:pPr>
        <w:pStyle w:val="BodyText"/>
      </w:pPr>
      <w:r w:rsidRPr="00C27FDF">
        <w:t>Nil.</w:t>
      </w:r>
    </w:p>
    <w:p w:rsidR="00000000" w:rsidRPr="00C27FDF" w:rsidP="00C27FDF">
      <w:pPr>
        <w:pStyle w:val="Heading1"/>
      </w:pPr>
      <w:bookmarkStart w:id="4" w:name="O_1163714"/>
      <w:bookmarkEnd w:id="4"/>
      <w:r w:rsidRPr="00C27FDF">
        <w:t>Unit Sector</w:t>
      </w:r>
    </w:p>
    <w:p w:rsidR="00000000" w:rsidRPr="00C27FDF" w:rsidP="00FB313B">
      <w:pPr>
        <w:pStyle w:val="BodyText"/>
      </w:pPr>
      <w:r w:rsidRPr="00C27FDF">
        <w:t>Fire Protection Inspection and Testing</w:t>
      </w:r>
    </w:p>
    <w:p w:rsidR="00000000" w:rsidRPr="00C27FDF" w:rsidP="00C27FDF">
      <w:pPr>
        <w:pStyle w:val="Heading1"/>
      </w:pPr>
      <w:bookmarkStart w:id="5" w:name="O_1163713"/>
      <w:bookmarkEnd w:id="5"/>
      <w:r w:rsidRPr="00C27F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Performance criteria describe what needs to be done to demonstrate achievement of the element.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Plan and prepare for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Interpret work instructions to clarify service timeframes, client needs, site and equipment locations.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Discuss planned service procedures with relevant persons to clarify client needs and expectations.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Plan work activities to comply with relevant Australian Standards, regulatory, work health and safety (WHS)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Identif</w:t>
            </w:r>
            <w:r w:rsidRPr="00C27FDF">
              <w:t>y potential and actual breaches of rules and regulations associated with work instructions and take required action to ensure compliance according to regulatory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Select and use required tools and equipment, including perso</w:t>
            </w:r>
            <w:r w:rsidRPr="00C27FDF">
              <w:t>nal protective equipment (PPE).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Arrange access to worksite and communicate with responsible entity and affected persons to advise duration and impact of planned service procedures and to ensure alternative safety arrangements are implemented.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Identify and prepare to control hazards in the work area according to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Inspect and test portable fire monitor.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Interpret product information and manufacturer requirements to determine testing and maintenance procedures f</w:t>
            </w:r>
            <w:r w:rsidRPr="00C27FDF">
              <w:t>or portable fire monitor.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Read and comply with safety data sheet (SDS) for foam type in use.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Inspect portable fire monitor to identify defects or damage according to manufacturer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Test portable fire monitor to confirm correct working order and identify defects according to manufacturer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Record inspection and test results according to regulatory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Maintain portable fire monitor.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Maintain portable fire monitor according to manufacturer and relevant Australian Standard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Report defects, and repair or replace defective components according to manufacturer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Record maintenance results according to regulatory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Complete service documentation and report outstanding defects, non-compliances and recommended rectifications according to Australian Standards, regulatory and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 xml:space="preserve">Check tools and equipment for faults, wear or damage and rectify </w:t>
            </w:r>
            <w:r w:rsidRPr="00C27FDF">
              <w:t>or report problems according to workplace requirements.</w:t>
            </w:r>
          </w:p>
        </w:tc>
      </w:tr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FDF" w:rsidP="00C27FDF">
            <w:pPr>
              <w:pStyle w:val="BodyText"/>
            </w:pPr>
            <w:r w:rsidRPr="00C27FDF">
              <w:t>Leave client premises in a clean and tidy condition.</w:t>
            </w:r>
          </w:p>
        </w:tc>
      </w:tr>
    </w:tbl>
    <w:p w:rsidR="00000000" w:rsidRPr="00C27FDF" w:rsidP="00C27FDF">
      <w:pPr>
        <w:pStyle w:val="BodyText"/>
      </w:pPr>
    </w:p>
    <w:p w:rsidR="00000000" w:rsidRPr="00C27FDF" w:rsidP="00C27FDF">
      <w:pPr>
        <w:pStyle w:val="AllowPageBreak"/>
      </w:pPr>
    </w:p>
    <w:p w:rsidR="00000000" w:rsidRPr="00C27FDF" w:rsidP="00C27FDF">
      <w:pPr>
        <w:pStyle w:val="Heading1"/>
      </w:pPr>
      <w:bookmarkStart w:id="6" w:name="O_1163712"/>
      <w:bookmarkEnd w:id="6"/>
      <w:r w:rsidRPr="00C27FDF">
        <w:t>Foundation Skills</w:t>
      </w:r>
    </w:p>
    <w:p w:rsidR="00000000" w:rsidRPr="00C27FDF" w:rsidP="00FB313B">
      <w:pPr>
        <w:pStyle w:val="BodyText"/>
      </w:pPr>
      <w:r w:rsidRPr="00C27FDF">
        <w:t>Foundation skills essential to performance are explicit in the performance criteria of this unit of competency.</w:t>
      </w:r>
    </w:p>
    <w:p w:rsidR="00000000" w:rsidRPr="00C27FDF" w:rsidP="00C27FDF">
      <w:pPr>
        <w:pStyle w:val="Heading1"/>
      </w:pPr>
      <w:bookmarkStart w:id="7" w:name="O_1163711"/>
      <w:bookmarkEnd w:id="7"/>
      <w:r w:rsidRPr="00C27FDF">
        <w:t>Unit Mapping Information</w:t>
      </w:r>
    </w:p>
    <w:p w:rsidR="00000000" w:rsidRPr="00C27FDF" w:rsidP="00FB313B">
      <w:pPr>
        <w:pStyle w:val="BodyText"/>
      </w:pPr>
      <w:r w:rsidRPr="00C27FDF">
        <w:t>Supersedes and is equivalent to CPPFES3038A Inspect, test and maintain portable fire monitors.</w:t>
      </w:r>
    </w:p>
    <w:p w:rsidR="00000000" w:rsidRPr="00C27FDF" w:rsidP="00C27FDF">
      <w:pPr>
        <w:pStyle w:val="Heading1"/>
      </w:pPr>
      <w:bookmarkStart w:id="8" w:name="O_1163704"/>
      <w:bookmarkEnd w:id="8"/>
      <w:r w:rsidRPr="00C27FDF">
        <w:t>Links</w:t>
      </w:r>
    </w:p>
    <w:p w:rsidR="00000000" w:rsidRPr="00C27FDF" w:rsidP="00FB313B">
      <w:pPr>
        <w:pStyle w:val="BodyText"/>
      </w:pPr>
      <w:r w:rsidRPr="00C27FD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1F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7FDF" w:rsidP="00FB313B">
      <w:pPr>
        <w:pStyle w:val="BodyText"/>
        <w:sectPr w:rsidSect="00C27F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7FDF" w:rsidP="00C27FDF">
      <w:pPr>
        <w:pStyle w:val="SuperHeading"/>
      </w:pPr>
      <w:r w:rsidRPr="00C27FDF">
        <w:t>Assessment Requirements</w:t>
      </w:r>
      <w:r w:rsidRPr="00C27FDF">
        <w:t xml:space="preserve"> for CPPFES3038 Inspect, test and maintain portable fire monitors</w:t>
      </w:r>
    </w:p>
    <w:p w:rsidR="00000000" w:rsidRPr="00C27FDF" w:rsidP="00C27FDF">
      <w:pPr>
        <w:pStyle w:val="Heading1"/>
      </w:pPr>
      <w:bookmarkStart w:id="9" w:name="O_1163706"/>
      <w:bookmarkEnd w:id="9"/>
      <w:r w:rsidRPr="00C27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27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FDF">
            <w:pPr>
              <w:pStyle w:val="BodyText"/>
              <w:rPr>
                <w:lang w:val="en-NZ"/>
              </w:rPr>
            </w:pPr>
            <w:r w:rsidRPr="00C27FD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FDF" w:rsidP="00C27FDF">
            <w:pPr>
              <w:pStyle w:val="BodyText"/>
            </w:pPr>
            <w:r w:rsidRPr="00C27FDF">
              <w:t>This version first released with CPP Property Services Training Package Release 13.0.</w:t>
            </w:r>
          </w:p>
          <w:p w:rsidR="00000000" w:rsidRPr="00C27FDF" w:rsidP="00C27FDF">
            <w:pPr>
              <w:pStyle w:val="BodyText"/>
            </w:pPr>
            <w:r w:rsidRPr="00C27FDF">
              <w:t>Supersedes and is equivalent to CPPFES3038A Inspect, test and maintain portable fire monitors.  Unit updated to meet the Standards for Training Packages 2012.</w:t>
            </w:r>
          </w:p>
        </w:tc>
      </w:tr>
    </w:tbl>
    <w:p w:rsidR="00000000" w:rsidRPr="00C27FDF" w:rsidP="00C27FDF">
      <w:pPr>
        <w:pStyle w:val="BodyText"/>
      </w:pPr>
    </w:p>
    <w:p w:rsidR="00000000" w:rsidRPr="00C27FDF" w:rsidP="00C27FDF">
      <w:pPr>
        <w:pStyle w:val="AllowPageBreak"/>
      </w:pPr>
    </w:p>
    <w:p w:rsidR="00000000" w:rsidRPr="00C27FDF" w:rsidP="00C27FDF">
      <w:pPr>
        <w:pStyle w:val="Heading1"/>
      </w:pPr>
      <w:bookmarkStart w:id="10" w:name="O_1163709"/>
      <w:bookmarkEnd w:id="10"/>
      <w:r w:rsidRPr="00C27FDF">
        <w:t>Performance Evidence</w:t>
      </w:r>
    </w:p>
    <w:p w:rsidR="00000000" w:rsidRPr="00C27FDF" w:rsidP="00FB313B">
      <w:pPr>
        <w:pStyle w:val="BodyText"/>
      </w:pPr>
      <w:r w:rsidRPr="00C27FDF">
        <w:t>To demonstrate competency, a candidate must meet the el</w:t>
      </w:r>
      <w:r w:rsidRPr="00C27FDF">
        <w:t>ements and performance criteria of this unit by inspecting, testing and maintaining two different portable fire monitors, and performing the following maintenance procedures for each monitor:</w:t>
      </w:r>
    </w:p>
    <w:p w:rsidR="00000000" w:rsidRPr="00C27FDF" w:rsidP="00C27FDF">
      <w:pPr>
        <w:pStyle w:val="ListBullet"/>
      </w:pPr>
      <w:r w:rsidRPr="00C27FDF">
        <w:t>removing and replacing the foam nozzle on the portable monitor</w:t>
      </w:r>
    </w:p>
    <w:p w:rsidR="00000000" w:rsidRPr="00C27FDF" w:rsidP="00C27FDF">
      <w:pPr>
        <w:pStyle w:val="ListBullet"/>
      </w:pPr>
      <w:r w:rsidRPr="00C27FDF">
        <w:t>cleaning and lubricating swing joints on the foam monitor.</w:t>
      </w:r>
    </w:p>
    <w:p w:rsidR="00000000" w:rsidRPr="00C27FDF" w:rsidP="00C27FDF">
      <w:pPr>
        <w:pStyle w:val="AllowPageBreak"/>
      </w:pPr>
    </w:p>
    <w:p w:rsidR="00000000" w:rsidRPr="00C27FDF" w:rsidP="00C27FDF">
      <w:pPr>
        <w:pStyle w:val="Heading1"/>
      </w:pPr>
      <w:bookmarkStart w:id="11" w:name="O_1163708"/>
      <w:bookmarkEnd w:id="11"/>
      <w:r w:rsidRPr="00C27FDF">
        <w:t>Knowledge Evidence</w:t>
      </w:r>
    </w:p>
    <w:p w:rsidR="00000000" w:rsidRPr="00C27FDF" w:rsidP="00FB313B">
      <w:pPr>
        <w:pStyle w:val="BodyText"/>
      </w:pPr>
      <w:r w:rsidRPr="00C27FDF">
        <w:t>To be competent in this unit, a candidate must demonstrate knowledge of:</w:t>
      </w:r>
    </w:p>
    <w:p w:rsidR="00000000" w:rsidRPr="00C27FDF" w:rsidP="00C27FDF">
      <w:pPr>
        <w:pStyle w:val="ListBullet"/>
      </w:pPr>
      <w:r w:rsidRPr="00C27FDF">
        <w:t>action to take when a breach of regulation, work health and safety (WHS) or other policy occurs when inspecting, testing and maintaining portable fire monitors</w:t>
      </w:r>
    </w:p>
    <w:p w:rsidR="00000000" w:rsidRPr="00C27FDF" w:rsidP="00C27FDF">
      <w:pPr>
        <w:pStyle w:val="ListBullet"/>
      </w:pPr>
      <w:r w:rsidRPr="00C27FDF">
        <w:t>implications of not complying with regulatory requirements when inspecting, testing and maintain</w:t>
      </w:r>
      <w:r w:rsidRPr="00C27FDF">
        <w:t>ing portable fire monitors</w:t>
      </w:r>
    </w:p>
    <w:p w:rsidR="00000000" w:rsidRPr="00C27FDF" w:rsidP="00C27FDF">
      <w:pPr>
        <w:pStyle w:val="ListBullet"/>
      </w:pPr>
      <w:r w:rsidRPr="00C27FDF">
        <w:t>key features of legislation, regulations, codes and Australian Standards relevant to inspecting, testing and maintaining portable fire monitors:</w:t>
      </w:r>
    </w:p>
    <w:p w:rsidR="00000000" w:rsidRPr="00C27FDF" w:rsidP="00C27FDF">
      <w:pPr>
        <w:pStyle w:val="ListBullet2"/>
      </w:pPr>
      <w:r w:rsidRPr="00C27FDF">
        <w:t>environmental considerations relating to foams</w:t>
      </w:r>
    </w:p>
    <w:p w:rsidR="00000000" w:rsidRPr="00C27FDF" w:rsidP="00C27FDF">
      <w:pPr>
        <w:pStyle w:val="ListBullet2"/>
      </w:pPr>
      <w:r w:rsidRPr="00C27FDF">
        <w:t>records and documentation</w:t>
      </w:r>
    </w:p>
    <w:p w:rsidR="00000000" w:rsidRPr="00C27FDF" w:rsidP="00C27FDF">
      <w:pPr>
        <w:pStyle w:val="ListBullet"/>
      </w:pPr>
      <w:r w:rsidRPr="00C27FDF">
        <w:t>limitatio</w:t>
      </w:r>
      <w:r w:rsidRPr="00C27FDF">
        <w:t>ns of maintenance functions for fire monitors</w:t>
      </w:r>
    </w:p>
    <w:p w:rsidR="00000000" w:rsidRPr="00C27FDF" w:rsidP="00C27FDF">
      <w:pPr>
        <w:pStyle w:val="ListBullet"/>
      </w:pPr>
      <w:r w:rsidRPr="00C27FDF">
        <w:t>operating principles of:</w:t>
      </w:r>
    </w:p>
    <w:p w:rsidR="00000000" w:rsidRPr="00C27FDF" w:rsidP="00C27FDF">
      <w:pPr>
        <w:pStyle w:val="ListBullet2"/>
      </w:pPr>
      <w:r w:rsidRPr="00C27FDF">
        <w:t>portable fire monitors</w:t>
      </w:r>
    </w:p>
    <w:p w:rsidR="00000000" w:rsidRPr="00C27FDF" w:rsidP="00C27FDF">
      <w:pPr>
        <w:pStyle w:val="ListBullet2"/>
      </w:pPr>
      <w:r w:rsidRPr="00C27FDF">
        <w:t>pumps associated with hydrants and monitors</w:t>
      </w:r>
    </w:p>
    <w:p w:rsidR="00000000" w:rsidRPr="00C27FDF" w:rsidP="00C27FDF">
      <w:pPr>
        <w:pStyle w:val="ListBullet"/>
      </w:pPr>
      <w:r w:rsidRPr="00C27FDF">
        <w:t>purpose of:</w:t>
      </w:r>
    </w:p>
    <w:p w:rsidR="00000000" w:rsidRPr="00C27FDF" w:rsidP="00C27FDF">
      <w:pPr>
        <w:pStyle w:val="ListBullet2"/>
      </w:pPr>
      <w:r w:rsidRPr="00C27FDF">
        <w:t>foam proportioning equipment relating to portable fire monitors</w:t>
      </w:r>
    </w:p>
    <w:p w:rsidR="00000000" w:rsidRPr="00C27FDF" w:rsidP="00C27FDF">
      <w:pPr>
        <w:pStyle w:val="ListBullet2"/>
      </w:pPr>
      <w:r w:rsidRPr="00C27FDF">
        <w:t>portable fire monitors</w:t>
      </w:r>
    </w:p>
    <w:p w:rsidR="00000000" w:rsidRPr="00C27FDF" w:rsidP="00C27FDF">
      <w:pPr>
        <w:pStyle w:val="ListBullet"/>
      </w:pPr>
      <w:r w:rsidRPr="00C27FDF">
        <w:t>purpose of safety data sheets (SDS) and methods for protecting the environment when working with foams used in the fire protection industry</w:t>
      </w:r>
    </w:p>
    <w:p w:rsidR="00000000" w:rsidRPr="00C27FDF" w:rsidP="00C27FDF">
      <w:pPr>
        <w:pStyle w:val="ListBullet"/>
      </w:pPr>
      <w:r w:rsidRPr="00C27FDF">
        <w:t>types and purpose of tools and equipment used when routinely servicing portable fire monitors:</w:t>
      </w:r>
    </w:p>
    <w:p w:rsidR="00000000" w:rsidRPr="00C27FDF" w:rsidP="00C27FDF">
      <w:pPr>
        <w:pStyle w:val="ListBullet2"/>
      </w:pPr>
      <w:r w:rsidRPr="00C27FDF">
        <w:t>hand and power tools</w:t>
      </w:r>
    </w:p>
    <w:p w:rsidR="00000000" w:rsidRPr="00C27FDF" w:rsidP="00C27FDF">
      <w:pPr>
        <w:pStyle w:val="ListBullet2"/>
      </w:pPr>
      <w:r w:rsidRPr="00C27FDF">
        <w:t>personal protective equipment (PPE)</w:t>
      </w:r>
    </w:p>
    <w:p w:rsidR="00000000" w:rsidRPr="00C27FDF" w:rsidP="00C27FDF">
      <w:pPr>
        <w:pStyle w:val="ListBullet"/>
      </w:pPr>
      <w:r w:rsidRPr="00C27FDF">
        <w:t>workplace requirements for inspecting, testing and maintaining portable fire monitors:</w:t>
      </w:r>
    </w:p>
    <w:p w:rsidR="00000000" w:rsidRPr="00C27FDF" w:rsidP="00C27FDF">
      <w:pPr>
        <w:pStyle w:val="ListBullet2"/>
      </w:pPr>
      <w:r w:rsidRPr="00C27FDF">
        <w:t>maintenance of tools and equipment</w:t>
      </w:r>
    </w:p>
    <w:p w:rsidR="00000000" w:rsidRPr="00C27FDF" w:rsidP="00C27FDF">
      <w:pPr>
        <w:pStyle w:val="ListBullet2"/>
      </w:pPr>
      <w:r w:rsidRPr="00C27FDF">
        <w:t>WHS, including hazard and risk identification and control.</w:t>
      </w:r>
    </w:p>
    <w:p w:rsidR="00000000" w:rsidRPr="00C27FDF" w:rsidP="00C27FDF">
      <w:pPr>
        <w:pStyle w:val="AllowPageBreak"/>
      </w:pPr>
    </w:p>
    <w:p w:rsidR="00000000" w:rsidRPr="00C27FDF" w:rsidP="00C27FDF">
      <w:pPr>
        <w:pStyle w:val="Heading1"/>
      </w:pPr>
      <w:bookmarkStart w:id="12" w:name="O_1163707"/>
      <w:bookmarkEnd w:id="12"/>
      <w:r w:rsidRPr="00C27FDF">
        <w:t>Assessment Condit</w:t>
      </w:r>
      <w:r w:rsidRPr="00C27FDF">
        <w:t>ions</w:t>
      </w:r>
    </w:p>
    <w:p w:rsidR="00000000" w:rsidRPr="00C27FDF" w:rsidP="00FB313B">
      <w:pPr>
        <w:pStyle w:val="BodyText"/>
      </w:pPr>
      <w:r w:rsidRPr="00C27FDF">
        <w:t xml:space="preserve">Assessors must meet the requirements for assessors contained in the Standards for Registered Training Organisations. </w:t>
      </w:r>
    </w:p>
    <w:p w:rsidR="00000000" w:rsidRPr="00C27FDF" w:rsidP="00FB313B">
      <w:pPr>
        <w:pStyle w:val="BodyText"/>
      </w:pPr>
      <w:r w:rsidRPr="00C27FDF">
        <w:t>Assessment must be conducted in the workplace or a simulated workplace using realistic conditions, materials, acti</w:t>
      </w:r>
      <w:r w:rsidRPr="00C27FDF">
        <w:t>vities, responsibilities, procedures, safety requirements and environmental considerations.</w:t>
      </w:r>
    </w:p>
    <w:p w:rsidR="00000000" w:rsidRPr="00C27FDF" w:rsidP="00FB313B">
      <w:pPr>
        <w:pStyle w:val="BodyText"/>
      </w:pPr>
      <w:r w:rsidRPr="00C27FDF">
        <w:t>Candidates must have access to documentation, tools, equipment and portable fire monitors required to achieve the performance evidence.</w:t>
      </w:r>
    </w:p>
    <w:p w:rsidR="00000000" w:rsidRPr="00C27FDF" w:rsidP="00C27FDF">
      <w:pPr>
        <w:pStyle w:val="Heading1"/>
      </w:pPr>
      <w:bookmarkStart w:id="13" w:name="O_1163705"/>
      <w:bookmarkEnd w:id="13"/>
      <w:r w:rsidRPr="00C27FDF">
        <w:t>Links</w:t>
      </w:r>
    </w:p>
    <w:p w:rsidR="00000000" w:rsidRPr="00C27FDF" w:rsidP="00FB313B">
      <w:pPr>
        <w:pStyle w:val="BodyText"/>
      </w:pPr>
      <w:r w:rsidRPr="00C27FDF">
        <w:t>Com</w:t>
      </w:r>
      <w:r w:rsidRPr="00C27FDF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C1F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7FDF" w:rsidP="00C27FDF"/>
    <w:sectPr w:rsidSect="00C27F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 w:rsidRPr="00FB313B" w:rsidP="00FB3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3B" w:rsidP="00C27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13B" w:rsidP="00C27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313B" w:rsidP="00C27F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 w:rsidP="00C27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313B">
      <w:t>Approved</w:t>
    </w:r>
    <w:r w:rsidR="00FB31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31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313B">
      <w:rPr>
        <w:noProof/>
      </w:rPr>
      <w:t>4</w:t>
    </w:r>
    <w:r>
      <w:rPr>
        <w:noProof/>
      </w:rPr>
      <w:fldChar w:fldCharType="end"/>
    </w:r>
  </w:p>
  <w:p w:rsidR="00C27FDF" w:rsidP="00C27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31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313B">
      <w:t>BuildSkills Australia</w:t>
    </w:r>
    <w:r w:rsidR="00FB313B">
      <w:fldChar w:fldCharType="end"/>
    </w:r>
  </w:p>
  <w:p w:rsidR="00C27FDF" w:rsidP="00C27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FDF" w:rsidRPr="00FB313B" w:rsidP="00FB3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13B" w:rsidRPr="002D2AF8" w:rsidP="00C27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CPPFES3038 Inspect, test and maintain portable fire monitors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313B" w:rsidP="00C27F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DF" w:rsidRPr="002D2AF8" w:rsidP="00C27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313B">
      <w:t>CPPFES3038 Inspect, test and maintain portable fire monitors</w:t>
    </w:r>
    <w:r w:rsidR="00FB31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313B">
      <w:rPr>
        <w:noProof/>
      </w:rPr>
      <w:t>2 March 2025</w:t>
    </w:r>
    <w:r>
      <w:fldChar w:fldCharType="end"/>
    </w:r>
  </w:p>
  <w:p w:rsidR="00C27FDF" w:rsidP="00C27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22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66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BE2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FDF"/>
  </w:style>
  <w:style w:type="character" w:customStyle="1" w:styleId="Heading1Char">
    <w:name w:val="Heading 1 Char"/>
    <w:basedOn w:val="DefaultParagraphFont"/>
    <w:link w:val="Heading1"/>
    <w:rsid w:val="00C27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F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F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FDF"/>
    <w:rPr>
      <w:b/>
      <w:spacing w:val="0"/>
    </w:rPr>
  </w:style>
  <w:style w:type="paragraph" w:customStyle="1" w:styleId="SuperTitle">
    <w:name w:val="SuperTitle"/>
    <w:basedOn w:val="Title"/>
    <w:rsid w:val="00C27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FDF"/>
    <w:rPr>
      <w:i/>
    </w:rPr>
  </w:style>
  <w:style w:type="paragraph" w:styleId="Caption">
    <w:name w:val="caption"/>
    <w:basedOn w:val="BodyText"/>
    <w:next w:val="Normal"/>
    <w:qFormat/>
    <w:rsid w:val="00C27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FDF"/>
  </w:style>
  <w:style w:type="paragraph" w:styleId="TableofFigures">
    <w:name w:val="table of figures"/>
    <w:basedOn w:val="Normal"/>
    <w:next w:val="Normal"/>
    <w:semiHidden/>
    <w:rsid w:val="00C27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F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FDF"/>
    <w:rPr>
      <w:rFonts w:ascii="Wingdings" w:hAnsi="Wingdings"/>
    </w:rPr>
  </w:style>
  <w:style w:type="paragraph" w:customStyle="1" w:styleId="TableHeading">
    <w:name w:val="Table Heading"/>
    <w:basedOn w:val="HeadingBase"/>
    <w:rsid w:val="00C27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FDF"/>
    <w:rPr>
      <w:color w:val="0033CC"/>
      <w:u w:val="none"/>
    </w:rPr>
  </w:style>
  <w:style w:type="paragraph" w:customStyle="1" w:styleId="BodyTextRight">
    <w:name w:val="Body Text Right"/>
    <w:basedOn w:val="BodyText"/>
    <w:rsid w:val="00C27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F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FDF"/>
    <w:rPr>
      <w:sz w:val="32"/>
    </w:rPr>
  </w:style>
  <w:style w:type="paragraph" w:customStyle="1" w:styleId="HeadingProcedure">
    <w:name w:val="Heading Procedure"/>
    <w:basedOn w:val="HeadingBase"/>
    <w:next w:val="Normal"/>
    <w:rsid w:val="00C27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FDF"/>
    <w:pPr>
      <w:spacing w:before="60" w:after="60"/>
    </w:pPr>
  </w:style>
  <w:style w:type="paragraph" w:styleId="ListContinue">
    <w:name w:val="List Continue"/>
    <w:basedOn w:val="List"/>
    <w:rsid w:val="00C27FDF"/>
    <w:pPr>
      <w:ind w:firstLine="0"/>
    </w:pPr>
  </w:style>
  <w:style w:type="paragraph" w:customStyle="1" w:styleId="ListNote">
    <w:name w:val="List Note"/>
    <w:basedOn w:val="List"/>
    <w:rsid w:val="00C27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FDF"/>
    <w:rPr>
      <w:rFonts w:ascii="Courier New" w:hAnsi="Courier New"/>
    </w:rPr>
  </w:style>
  <w:style w:type="paragraph" w:customStyle="1" w:styleId="NoteBullet">
    <w:name w:val="Note Bullet"/>
    <w:basedOn w:val="Note"/>
    <w:rsid w:val="00C27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F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FDF"/>
    <w:rPr>
      <w:b/>
      <w:smallCaps/>
    </w:rPr>
  </w:style>
  <w:style w:type="paragraph" w:customStyle="1" w:styleId="TableListNumber">
    <w:name w:val="Table List Number"/>
    <w:basedOn w:val="ListNumber"/>
    <w:rsid w:val="00C27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FDF"/>
    <w:pPr>
      <w:numPr>
        <w:numId w:val="9"/>
      </w:numPr>
    </w:pPr>
  </w:style>
  <w:style w:type="paragraph" w:customStyle="1" w:styleId="ListAlpha2">
    <w:name w:val="List Alpha 2"/>
    <w:basedOn w:val="List2"/>
    <w:rsid w:val="00C27FDF"/>
    <w:pPr>
      <w:numPr>
        <w:numId w:val="8"/>
      </w:numPr>
    </w:pPr>
  </w:style>
  <w:style w:type="paragraph" w:styleId="List2">
    <w:name w:val="List 2"/>
    <w:basedOn w:val="BodyText"/>
    <w:rsid w:val="00C27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F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F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FDF"/>
    <w:pPr>
      <w:numPr>
        <w:numId w:val="4"/>
      </w:numPr>
    </w:pPr>
  </w:style>
  <w:style w:type="paragraph" w:styleId="ListContinue2">
    <w:name w:val="List Continue 2"/>
    <w:basedOn w:val="List2"/>
    <w:rsid w:val="00C27FDF"/>
    <w:pPr>
      <w:ind w:firstLine="0"/>
    </w:pPr>
  </w:style>
  <w:style w:type="paragraph" w:styleId="ListContinue3">
    <w:name w:val="List Continue 3"/>
    <w:basedOn w:val="List3"/>
    <w:rsid w:val="00C27FDF"/>
    <w:pPr>
      <w:ind w:left="1021" w:firstLine="0"/>
    </w:pPr>
  </w:style>
  <w:style w:type="paragraph" w:styleId="ListContinue4">
    <w:name w:val="List Continue 4"/>
    <w:basedOn w:val="List4"/>
    <w:rsid w:val="00C27FDF"/>
    <w:pPr>
      <w:ind w:firstLine="0"/>
    </w:pPr>
  </w:style>
  <w:style w:type="paragraph" w:styleId="ListContinue5">
    <w:name w:val="List Continue 5"/>
    <w:basedOn w:val="List5"/>
    <w:rsid w:val="00C27FDF"/>
    <w:pPr>
      <w:ind w:firstLine="0"/>
    </w:pPr>
  </w:style>
  <w:style w:type="paragraph" w:styleId="ListNumber3">
    <w:name w:val="List Number 3"/>
    <w:basedOn w:val="List3"/>
    <w:rsid w:val="00C27FDF"/>
    <w:pPr>
      <w:numPr>
        <w:numId w:val="5"/>
      </w:numPr>
    </w:pPr>
  </w:style>
  <w:style w:type="paragraph" w:styleId="ListNumber4">
    <w:name w:val="List Number 4"/>
    <w:basedOn w:val="List4"/>
    <w:rsid w:val="00C27FDF"/>
    <w:pPr>
      <w:numPr>
        <w:numId w:val="6"/>
      </w:numPr>
    </w:pPr>
  </w:style>
  <w:style w:type="paragraph" w:styleId="ListNumber5">
    <w:name w:val="List Number 5"/>
    <w:basedOn w:val="List5"/>
    <w:rsid w:val="00C27FDF"/>
    <w:pPr>
      <w:numPr>
        <w:numId w:val="7"/>
      </w:numPr>
    </w:pPr>
  </w:style>
  <w:style w:type="paragraph" w:styleId="BlockText">
    <w:name w:val="Block Text"/>
    <w:basedOn w:val="Normal"/>
    <w:rsid w:val="00C27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FDF"/>
    <w:rPr>
      <w:sz w:val="16"/>
      <w:vertAlign w:val="superscript"/>
    </w:rPr>
  </w:style>
  <w:style w:type="character" w:customStyle="1" w:styleId="Symbols">
    <w:name w:val="Symbols"/>
    <w:basedOn w:val="DefaultParagraphFont"/>
    <w:rsid w:val="00C27FDF"/>
    <w:rPr>
      <w:rFonts w:ascii="Symbol" w:hAnsi="Symbol"/>
    </w:rPr>
  </w:style>
  <w:style w:type="character" w:customStyle="1" w:styleId="MenuOptions">
    <w:name w:val="Menu Options"/>
    <w:basedOn w:val="DefaultParagraphFont"/>
    <w:rsid w:val="00C27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FDF"/>
    <w:rPr>
      <w:b/>
    </w:rPr>
  </w:style>
  <w:style w:type="character" w:customStyle="1" w:styleId="Underlined">
    <w:name w:val="Underlined"/>
    <w:basedOn w:val="DefaultParagraphFont"/>
    <w:rsid w:val="00C27FDF"/>
    <w:rPr>
      <w:u w:val="single"/>
    </w:rPr>
  </w:style>
  <w:style w:type="paragraph" w:customStyle="1" w:styleId="TableBodyTextRight">
    <w:name w:val="Table Body Text Right"/>
    <w:basedOn w:val="TableBodyText"/>
    <w:rsid w:val="00C27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FDF"/>
    <w:rPr>
      <w:sz w:val="18"/>
    </w:rPr>
  </w:style>
  <w:style w:type="paragraph" w:customStyle="1" w:styleId="BodySmallRight">
    <w:name w:val="Body Small Right"/>
    <w:basedOn w:val="BodyTextRight"/>
    <w:rsid w:val="00C27FDF"/>
    <w:rPr>
      <w:sz w:val="18"/>
      <w:szCs w:val="18"/>
    </w:rPr>
  </w:style>
  <w:style w:type="paragraph" w:customStyle="1" w:styleId="MarginEdition">
    <w:name w:val="Margin Edition"/>
    <w:basedOn w:val="MarginNote"/>
    <w:rsid w:val="00C27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FDF"/>
    <w:rPr>
      <w:sz w:val="2"/>
      <w:szCs w:val="2"/>
    </w:rPr>
  </w:style>
  <w:style w:type="character" w:customStyle="1" w:styleId="Small">
    <w:name w:val="Small"/>
    <w:basedOn w:val="DefaultParagraphFont"/>
    <w:rsid w:val="00C27FDF"/>
    <w:rPr>
      <w:sz w:val="16"/>
    </w:rPr>
  </w:style>
  <w:style w:type="paragraph" w:customStyle="1" w:styleId="WideTable">
    <w:name w:val="Wide Table"/>
    <w:basedOn w:val="Normal"/>
    <w:rsid w:val="00C27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FDF"/>
  </w:style>
  <w:style w:type="paragraph" w:styleId="Quote">
    <w:name w:val="Quote"/>
    <w:basedOn w:val="Heading1"/>
    <w:link w:val="QuoteChar"/>
    <w:qFormat/>
    <w:rsid w:val="00C27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FDF"/>
    <w:pPr>
      <w:pageBreakBefore/>
    </w:pPr>
  </w:style>
  <w:style w:type="paragraph" w:customStyle="1" w:styleId="Border">
    <w:name w:val="Border"/>
    <w:basedOn w:val="Normal"/>
    <w:qFormat/>
    <w:rsid w:val="00C27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FDF"/>
    <w:rPr>
      <w:u w:val="single"/>
    </w:rPr>
  </w:style>
  <w:style w:type="character" w:customStyle="1" w:styleId="BoldandItalics">
    <w:name w:val="Bold and Italics"/>
    <w:qFormat/>
    <w:rsid w:val="00C27FDF"/>
    <w:rPr>
      <w:b/>
      <w:i/>
      <w:u w:val="none"/>
    </w:rPr>
  </w:style>
  <w:style w:type="paragraph" w:styleId="BalloonText">
    <w:name w:val="Balloon Text"/>
    <w:basedOn w:val="Normal"/>
    <w:link w:val="BalloonTextChar"/>
    <w:rsid w:val="00C27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FDF"/>
    <w:pPr>
      <w:spacing w:before="0" w:after="0"/>
    </w:pPr>
  </w:style>
  <w:style w:type="paragraph" w:customStyle="1" w:styleId="BodyTextBold">
    <w:name w:val="Body Text Bold"/>
    <w:basedOn w:val="BodyText"/>
    <w:qFormat/>
    <w:rsid w:val="00C27FDF"/>
    <w:rPr>
      <w:b/>
    </w:rPr>
  </w:style>
  <w:style w:type="character" w:styleId="Hyperlink">
    <w:name w:val="Hyperlink"/>
    <w:basedOn w:val="DefaultParagraphFont"/>
    <w:uiPriority w:val="99"/>
    <w:unhideWhenUsed/>
    <w:rsid w:val="00FB3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953</Words>
  <Characters>6191</Characters>
  <Application>Microsoft Office Word</Application>
  <DocSecurity>0</DocSecurity>
  <Lines>229</Lines>
  <Paragraphs>125</Paragraphs>
  <ScaleCrop>false</ScaleCrop>
  <Company>Author-it Software Corporation Ltd.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CPPFES3038 Inspect, test and maintain portable fire monitors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2025-03-02T00:36:00Z</dcterms:modified>
</cp:coreProperties>
</file>