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3D3" w:rsidP="00C113D3">
      <w:pPr>
        <w:pStyle w:val="Title"/>
      </w:pPr>
      <w:r>
        <w:fldChar w:fldCharType="begin"/>
      </w:r>
      <w:r>
        <w:instrText xml:space="preserve"> TITLE   \* MERGEFORMAT </w:instrText>
      </w:r>
      <w:r>
        <w:fldChar w:fldCharType="separate"/>
      </w:r>
      <w:r>
        <w:t>CPPFES3032 Conduct enclosure integrity testing</w:t>
      </w:r>
      <w:r>
        <w:fldChar w:fldCharType="end"/>
      </w:r>
    </w:p>
    <w:p w:rsidR="00C113D3" w:rsidP="00C113D3">
      <w:pPr>
        <w:pStyle w:val="Version"/>
        <w:sectPr w:rsidSect="00232B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2B07" w:rsidP="00232B07">
      <w:pPr>
        <w:pStyle w:val="SuperHeading"/>
      </w:pPr>
      <w:r w:rsidRPr="00232B07">
        <w:t>CPPFES3032 Conduct enclosure integrity testing</w:t>
      </w:r>
    </w:p>
    <w:p w:rsidR="00000000" w:rsidRPr="00232B07" w:rsidP="00232B07">
      <w:pPr>
        <w:pStyle w:val="Heading1"/>
      </w:pPr>
      <w:bookmarkStart w:id="1" w:name="O_1163693"/>
      <w:bookmarkEnd w:id="1"/>
      <w:r w:rsidRPr="00232B07">
        <w:t>Modification History</w:t>
      </w:r>
    </w:p>
    <w:tbl>
      <w:tblPr>
        <w:tblW w:w="0" w:type="auto"/>
        <w:tblLayout w:type="fixed"/>
        <w:tblCellMar>
          <w:left w:w="62" w:type="dxa"/>
          <w:right w:w="62" w:type="dxa"/>
        </w:tblCellMar>
        <w:tblLook w:val="0000"/>
      </w:tblPr>
      <w:tblGrid>
        <w:gridCol w:w="1305"/>
        <w:gridCol w:w="7597"/>
      </w:tblGrid>
      <w:tr w:rsidTr="00232B07">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Release 1</w:t>
            </w:r>
          </w:p>
        </w:tc>
        <w:tc>
          <w:tcPr>
            <w:tcW w:w="7597" w:type="dxa"/>
            <w:tcBorders>
              <w:top w:val="nil"/>
              <w:left w:val="nil"/>
              <w:bottom w:val="nil"/>
              <w:right w:val="nil"/>
            </w:tcBorders>
            <w:tcMar>
              <w:top w:w="0" w:type="dxa"/>
              <w:left w:w="62" w:type="dxa"/>
              <w:bottom w:w="0" w:type="dxa"/>
              <w:right w:w="62" w:type="dxa"/>
            </w:tcMar>
          </w:tcPr>
          <w:p w:rsidR="00000000" w:rsidRPr="00232B07" w:rsidP="00232B07">
            <w:pPr>
              <w:pStyle w:val="BodyText"/>
            </w:pPr>
            <w:r w:rsidRPr="00232B07">
              <w:t>This version first released with CPP Property Services Training Package Release 13.0.</w:t>
            </w:r>
          </w:p>
          <w:p w:rsidR="00000000" w:rsidRPr="00232B07" w:rsidP="00232B07">
            <w:pPr>
              <w:pStyle w:val="BodyText"/>
            </w:pPr>
            <w:r w:rsidRPr="00232B07">
              <w:t xml:space="preserve">Supersedes and is equivalent to CPPFES3032A Conduct enclosure integrity testing.  Unit updated to meet the Standards for Training </w:t>
            </w:r>
            <w:r w:rsidRPr="00232B07">
              <w:t>Packages 2012.</w:t>
            </w:r>
          </w:p>
        </w:tc>
      </w:tr>
    </w:tbl>
    <w:p w:rsidR="00000000" w:rsidRPr="00232B07" w:rsidP="00232B07">
      <w:pPr>
        <w:pStyle w:val="BodyText"/>
      </w:pPr>
    </w:p>
    <w:p w:rsidR="00000000" w:rsidRPr="00232B07" w:rsidP="00232B07">
      <w:pPr>
        <w:pStyle w:val="AllowPageBreak"/>
      </w:pPr>
    </w:p>
    <w:p w:rsidR="00000000" w:rsidRPr="00232B07" w:rsidP="00232B07">
      <w:pPr>
        <w:pStyle w:val="Heading1"/>
      </w:pPr>
      <w:bookmarkStart w:id="2" w:name="O_1163699"/>
      <w:bookmarkEnd w:id="2"/>
      <w:r w:rsidRPr="00232B07">
        <w:t>Application</w:t>
      </w:r>
    </w:p>
    <w:p w:rsidR="00000000" w:rsidRPr="00232B07" w:rsidP="00C113D3">
      <w:pPr>
        <w:pStyle w:val="BodyText"/>
      </w:pPr>
      <w:r w:rsidRPr="00232B07">
        <w:t>This unit of competency specifies the skills and knowledge required to test the integrity of enclosures protected by total flooding gaseous agent fire-suppression systems. It includes working safely, conducti</w:t>
      </w:r>
      <w:r w:rsidRPr="00232B07">
        <w:t>ng compliance tests, visually inspecting and identifying non-compliance defects, fulfilling mandatory reporting requirements and general isolations and resetting associated with gaseous fire-suppression systems. Tests are conducted according to the relevan</w:t>
      </w:r>
      <w:r w:rsidRPr="00232B07">
        <w:t>t Australian Standard for the inspection, testing and preventive maintenance of the installed gaseous fire-suppression system.</w:t>
      </w:r>
    </w:p>
    <w:p w:rsidR="00000000" w:rsidRPr="00232B07" w:rsidP="00C113D3">
      <w:pPr>
        <w:pStyle w:val="BodyText"/>
      </w:pPr>
      <w:r w:rsidRPr="00232B07">
        <w:t>A person who has achieved this unit of competency would be expected to take responsibility for organising and completing these ta</w:t>
      </w:r>
      <w:r w:rsidRPr="00232B07">
        <w:t>sks with a high degree of self-direction.</w:t>
      </w:r>
    </w:p>
    <w:p w:rsidR="00000000" w:rsidRPr="00232B07" w:rsidP="00C113D3">
      <w:pPr>
        <w:pStyle w:val="BodyText"/>
      </w:pPr>
      <w:r w:rsidRPr="00232B07">
        <w:t>Licensing, legislative, regulatory or certification requirements apply to this unit of competency in some states and territories. For further information, check with the relevant regulatory authority.</w:t>
      </w:r>
    </w:p>
    <w:p w:rsidR="00000000" w:rsidRPr="00232B07" w:rsidP="00232B07">
      <w:pPr>
        <w:pStyle w:val="Heading1"/>
      </w:pPr>
      <w:bookmarkStart w:id="3" w:name="O_1163698"/>
      <w:bookmarkEnd w:id="3"/>
      <w:r w:rsidRPr="00232B07">
        <w:t>Pre-requisite Unit</w:t>
      </w:r>
    </w:p>
    <w:p w:rsidR="00000000" w:rsidRPr="00232B07" w:rsidP="00C113D3">
      <w:pPr>
        <w:pStyle w:val="BodyText"/>
      </w:pPr>
      <w:r w:rsidRPr="00232B07">
        <w:t>Nil.</w:t>
      </w:r>
    </w:p>
    <w:p w:rsidR="00000000" w:rsidRPr="00232B07" w:rsidP="00232B07">
      <w:pPr>
        <w:pStyle w:val="Heading1"/>
      </w:pPr>
      <w:bookmarkStart w:id="4" w:name="O_1163697"/>
      <w:bookmarkEnd w:id="4"/>
      <w:r w:rsidRPr="00232B07">
        <w:t>Unit Sector</w:t>
      </w:r>
    </w:p>
    <w:p w:rsidR="00000000" w:rsidRPr="00232B07" w:rsidP="00C113D3">
      <w:pPr>
        <w:pStyle w:val="BodyText"/>
      </w:pPr>
      <w:r w:rsidRPr="00232B07">
        <w:t>Fire Protection Inspection and Testing</w:t>
      </w:r>
    </w:p>
    <w:p w:rsidR="00000000" w:rsidRPr="00232B07" w:rsidP="00232B07">
      <w:pPr>
        <w:pStyle w:val="Heading1"/>
      </w:pPr>
      <w:bookmarkStart w:id="5" w:name="O_1163696"/>
      <w:bookmarkEnd w:id="5"/>
      <w:r w:rsidRPr="00232B07">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32B07">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Performance criteria describe what needs to be done to demonstrate achievement of the element.</w:t>
            </w:r>
          </w:p>
        </w:tc>
      </w:tr>
      <w:tr w:rsidTr="00232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w:t>
            </w:r>
          </w:p>
        </w:tc>
        <w:tc>
          <w:tcPr>
            <w:tcW w:w="2357"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Plan and prepare for service operation.</w:t>
            </w: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1.1</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Interpret work instructions to clarify service timeframes, client needs, and gaseous fire-suppression system type</w:t>
            </w:r>
            <w:r w:rsidRPr="00232B07">
              <w:t>, application and location.</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1.2</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 xml:space="preserve">Discuss planned service procedures with relevant persons </w:t>
            </w:r>
            <w:r w:rsidRPr="00232B07">
              <w:t>to clarify client needs and expectations.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1.3</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Plan work activities to comply with relevant Australian Standards, regulatory, work health and safety (WHS) and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1.4</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Identify potential and actual breaches of rules and regulations associated with work instructions and take requir</w:t>
            </w:r>
            <w:r w:rsidRPr="00232B07">
              <w:t>ed action to ensure compliance according to regulatory and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1.5</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Select and use required tools and equipment, including personal protective equipment (PPE).</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1.6</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 xml:space="preserve">Arrange access to worksite and communicate with responsible entity </w:t>
            </w:r>
            <w:r w:rsidRPr="00232B07">
              <w:t>and affected persons to advise duration and impact of planned service procedures and to ensure alternative safety arrangements are implemented.</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1.7</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Identify and prepare to control hazards in the work area according to workplace requirements.</w:t>
            </w:r>
          </w:p>
        </w:tc>
      </w:tr>
      <w:tr w:rsidTr="00232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2B07">
            <w:pPr>
              <w:pStyle w:val="BodyText"/>
              <w:rPr>
                <w:lang w:val="en-NZ"/>
              </w:rPr>
            </w:pPr>
          </w:p>
        </w:tc>
      </w:tr>
      <w:tr w:rsidTr="00232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2</w:t>
            </w:r>
          </w:p>
        </w:tc>
        <w:tc>
          <w:tcPr>
            <w:tcW w:w="2357"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Conduct inspections and isolations.</w:t>
            </w: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2.1</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Identify gaseous agent fire-suppression system controls and determine functions according to manufacturer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2.2</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Isolate plant and other system interfaces according to manufacturer and regulatory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2.3</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Conduct visual inspections and checks according to relevant Australian Standards and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2.4</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 xml:space="preserve">Record inspection results according </w:t>
            </w:r>
            <w:r w:rsidRPr="00232B07">
              <w:t>to regulatory and workplace requirements.</w:t>
            </w:r>
          </w:p>
        </w:tc>
      </w:tr>
      <w:tr w:rsidTr="00232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2B07">
            <w:pPr>
              <w:pStyle w:val="BodyText"/>
              <w:rPr>
                <w:lang w:val="en-NZ"/>
              </w:rPr>
            </w:pPr>
          </w:p>
        </w:tc>
      </w:tr>
      <w:tr w:rsidTr="00232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3</w:t>
            </w:r>
          </w:p>
        </w:tc>
        <w:tc>
          <w:tcPr>
            <w:tcW w:w="2357"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Conduct integrity testing.</w:t>
            </w: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3.1</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Set up integrity testing equipment in readiness to conduct tests according to manufacturer requirements and site configuration.</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3.2</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Conduct enclosure testing procedures to verify correct functioning of gaseous fire-suppression system according to manufacturer and Australian Standard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3.3</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 xml:space="preserve">Perform measurements and calculations to verify integrity of enclosure protection, </w:t>
            </w:r>
            <w:r w:rsidRPr="00232B07">
              <w:t>including agent retention time, agent loss and total leakage area.</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3.4</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Record test results and assign pass or fail according to the Australian Standard for the installed gaseous fire-suppression system.</w:t>
            </w:r>
          </w:p>
        </w:tc>
      </w:tr>
      <w:tr w:rsidTr="00232B07">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32B07">
            <w:pPr>
              <w:pStyle w:val="BodyText"/>
              <w:rPr>
                <w:lang w:val="en-NZ"/>
              </w:rPr>
            </w:pPr>
          </w:p>
        </w:tc>
      </w:tr>
      <w:tr w:rsidTr="00232B07">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4</w:t>
            </w:r>
          </w:p>
        </w:tc>
        <w:tc>
          <w:tcPr>
            <w:tcW w:w="2357" w:type="dxa"/>
            <w:vMerge w:val="restart"/>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Finalise service operation.</w:t>
            </w: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4.1</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Reinstate gaseous fire-suppression system and check to confirm it is fully operational according to manufacturer and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4.2</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Complete service records and report outstanding defects and recommended rectifications according to Australian Standards, regulatory and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4.3</w:t>
            </w:r>
          </w:p>
        </w:tc>
        <w:tc>
          <w:tcPr>
            <w:tcW w:w="5659"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Check tools and equipment for faults, wear or damage and rectify or report problems acco</w:t>
            </w:r>
            <w:r w:rsidRPr="00232B07">
              <w:t>rding to workplace requirements.</w:t>
            </w:r>
          </w:p>
        </w:tc>
      </w:tr>
      <w:tr w:rsidTr="00232B07">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4.4</w:t>
            </w:r>
          </w:p>
        </w:tc>
        <w:tc>
          <w:tcPr>
            <w:tcW w:w="5659" w:type="dxa"/>
            <w:tcBorders>
              <w:top w:val="nil"/>
              <w:left w:val="nil"/>
              <w:bottom w:val="nil"/>
              <w:right w:val="nil"/>
            </w:tcBorders>
            <w:tcMar>
              <w:top w:w="0" w:type="dxa"/>
              <w:left w:w="62" w:type="dxa"/>
              <w:bottom w:w="0" w:type="dxa"/>
              <w:right w:w="62" w:type="dxa"/>
            </w:tcMar>
          </w:tcPr>
          <w:p w:rsidR="00000000" w:rsidRPr="00232B07" w:rsidP="00232B07">
            <w:pPr>
              <w:pStyle w:val="BodyText"/>
            </w:pPr>
            <w:r w:rsidRPr="00232B07">
              <w:t>Leave client premises in a clean and tidy condition.</w:t>
            </w:r>
          </w:p>
        </w:tc>
      </w:tr>
    </w:tbl>
    <w:p w:rsidR="00000000" w:rsidRPr="00232B07" w:rsidP="00232B07">
      <w:pPr>
        <w:pStyle w:val="BodyText"/>
      </w:pPr>
    </w:p>
    <w:p w:rsidR="00000000" w:rsidRPr="00232B07" w:rsidP="00232B07">
      <w:pPr>
        <w:pStyle w:val="AllowPageBreak"/>
      </w:pPr>
    </w:p>
    <w:p w:rsidR="00000000" w:rsidRPr="00232B07" w:rsidP="00232B07">
      <w:pPr>
        <w:pStyle w:val="Heading1"/>
      </w:pPr>
      <w:bookmarkStart w:id="6" w:name="O_1163695"/>
      <w:bookmarkEnd w:id="6"/>
      <w:r w:rsidRPr="00232B07">
        <w:t>Foundation Skills</w:t>
      </w:r>
    </w:p>
    <w:p w:rsidR="00000000" w:rsidRPr="00232B07" w:rsidP="00C113D3">
      <w:pPr>
        <w:pStyle w:val="BodyText"/>
      </w:pPr>
      <w:r w:rsidRPr="00232B07">
        <w:t>Foundation skills essential to performance are explicit in the performance criteria of this unit of competency.</w:t>
      </w:r>
    </w:p>
    <w:p w:rsidR="00000000" w:rsidRPr="00232B07" w:rsidP="00232B07">
      <w:pPr>
        <w:pStyle w:val="Heading1"/>
      </w:pPr>
      <w:bookmarkStart w:id="7" w:name="O_1163694"/>
      <w:bookmarkEnd w:id="7"/>
      <w:r w:rsidRPr="00232B07">
        <w:t>Unit Mapping Information</w:t>
      </w:r>
    </w:p>
    <w:p w:rsidR="00000000" w:rsidRPr="00232B07" w:rsidP="00C113D3">
      <w:pPr>
        <w:pStyle w:val="BodyText"/>
      </w:pPr>
      <w:r w:rsidRPr="00232B07">
        <w:t>Supersedes and is equivalent to CPPFES3032A Conduct enclosure integrity testing.</w:t>
      </w:r>
    </w:p>
    <w:p w:rsidR="00000000" w:rsidRPr="00232B07" w:rsidP="00232B07">
      <w:pPr>
        <w:pStyle w:val="Heading1"/>
      </w:pPr>
      <w:bookmarkStart w:id="8" w:name="O_1163687"/>
      <w:bookmarkEnd w:id="8"/>
      <w:r w:rsidRPr="00232B07">
        <w:t>Links</w:t>
      </w:r>
    </w:p>
    <w:p w:rsidR="00000000" w:rsidRPr="00232B07" w:rsidP="00C113D3">
      <w:pPr>
        <w:pStyle w:val="BodyText"/>
      </w:pPr>
      <w:r w:rsidRPr="00232B0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380C">
        <w:rPr>
          <w:rStyle w:val="Hyperlink"/>
        </w:rPr>
        <w:t>https://vetnet.gov.au/Pages/TrainingDocs.aspx?q=6f3f9672-30e8-4835-b348-205dfcf13d9b</w:t>
      </w:r>
      <w:r>
        <w:fldChar w:fldCharType="end"/>
      </w:r>
    </w:p>
    <w:p w:rsidR="00000000" w:rsidRPr="00232B07" w:rsidP="00C113D3">
      <w:pPr>
        <w:pStyle w:val="BodyText"/>
        <w:sectPr w:rsidSect="00232B07">
          <w:headerReference w:type="default" r:id="rId10"/>
          <w:footerReference w:type="default" r:id="rId11"/>
          <w:pgSz w:w="11908" w:h="16833"/>
          <w:pgMar w:top="1702" w:right="1418" w:bottom="1702" w:left="1418" w:header="992" w:footer="992" w:gutter="0"/>
          <w:cols w:space="720"/>
          <w:noEndnote/>
          <w:docGrid w:linePitch="299"/>
        </w:sectPr>
      </w:pPr>
    </w:p>
    <w:p w:rsidR="00000000" w:rsidRPr="00232B07" w:rsidP="00232B07">
      <w:pPr>
        <w:pStyle w:val="SuperHeading"/>
      </w:pPr>
      <w:r w:rsidRPr="00232B07">
        <w:t>Assessment Requirements for CPPFES3032 Conduct enclosure integrity testing</w:t>
      </w:r>
    </w:p>
    <w:p w:rsidR="00000000" w:rsidRPr="00232B07" w:rsidP="00232B07">
      <w:pPr>
        <w:pStyle w:val="Heading1"/>
      </w:pPr>
      <w:bookmarkStart w:id="9" w:name="O_1163689"/>
      <w:bookmarkEnd w:id="9"/>
      <w:r w:rsidRPr="00232B07">
        <w:t>Modification History</w:t>
      </w:r>
    </w:p>
    <w:tbl>
      <w:tblPr>
        <w:tblW w:w="0" w:type="auto"/>
        <w:tblLayout w:type="fixed"/>
        <w:tblCellMar>
          <w:left w:w="62" w:type="dxa"/>
          <w:right w:w="62" w:type="dxa"/>
        </w:tblCellMar>
        <w:tblLook w:val="0000"/>
      </w:tblPr>
      <w:tblGrid>
        <w:gridCol w:w="1305"/>
        <w:gridCol w:w="7597"/>
      </w:tblGrid>
      <w:tr w:rsidTr="00232B07">
        <w:tblPrEx>
          <w:tblW w:w="0" w:type="auto"/>
          <w:tblLayout w:type="fixed"/>
          <w:tblCellMar>
            <w:left w:w="62" w:type="dxa"/>
            <w:right w:w="62" w:type="dxa"/>
          </w:tblCellMar>
          <w:tblLook w:val="0000"/>
        </w:tblPrEx>
        <w:tc>
          <w:tcPr>
            <w:tcW w:w="1305" w:type="dxa"/>
            <w:tcBorders>
              <w:top w:val="nil"/>
              <w:left w:val="nil"/>
              <w:bottom w:val="nil"/>
              <w:right w:val="nil"/>
            </w:tcBorders>
            <w:tcMar>
              <w:top w:w="0" w:type="dxa"/>
              <w:left w:w="62" w:type="dxa"/>
              <w:bottom w:w="0" w:type="dxa"/>
              <w:right w:w="62" w:type="dxa"/>
            </w:tcMar>
          </w:tcPr>
          <w:p w:rsidR="00000000" w:rsidP="00232B07">
            <w:pPr>
              <w:pStyle w:val="BodyText"/>
              <w:rPr>
                <w:lang w:val="en-NZ"/>
              </w:rPr>
            </w:pPr>
            <w:r w:rsidRPr="00232B07">
              <w:t>Release 1</w:t>
            </w:r>
          </w:p>
        </w:tc>
        <w:tc>
          <w:tcPr>
            <w:tcW w:w="7597" w:type="dxa"/>
            <w:tcBorders>
              <w:top w:val="nil"/>
              <w:left w:val="nil"/>
              <w:bottom w:val="nil"/>
              <w:right w:val="nil"/>
            </w:tcBorders>
            <w:tcMar>
              <w:top w:w="0" w:type="dxa"/>
              <w:left w:w="62" w:type="dxa"/>
              <w:bottom w:w="0" w:type="dxa"/>
              <w:right w:w="62" w:type="dxa"/>
            </w:tcMar>
          </w:tcPr>
          <w:p w:rsidR="00000000" w:rsidRPr="00232B07" w:rsidP="00232B07">
            <w:pPr>
              <w:pStyle w:val="BodyText"/>
            </w:pPr>
            <w:r w:rsidRPr="00232B07">
              <w:t>This version first released with CP</w:t>
            </w:r>
            <w:r w:rsidRPr="00232B07">
              <w:t>P Property Services Training Package Release 13.0.</w:t>
            </w:r>
          </w:p>
          <w:p w:rsidR="00000000" w:rsidRPr="00232B07" w:rsidP="00232B07">
            <w:pPr>
              <w:pStyle w:val="BodyText"/>
            </w:pPr>
            <w:r w:rsidRPr="00232B07">
              <w:t>Supersedes and is equivalent to CPPFES3032A Conduct enclosure integrity testing.  Unit updated to meet the Standards for Training Packages 2012.</w:t>
            </w:r>
          </w:p>
        </w:tc>
      </w:tr>
    </w:tbl>
    <w:p w:rsidR="00000000" w:rsidRPr="00232B07" w:rsidP="00232B07">
      <w:pPr>
        <w:pStyle w:val="BodyText"/>
      </w:pPr>
    </w:p>
    <w:p w:rsidR="00000000" w:rsidRPr="00232B07" w:rsidP="00232B07">
      <w:pPr>
        <w:pStyle w:val="AllowPageBreak"/>
      </w:pPr>
    </w:p>
    <w:p w:rsidR="00000000" w:rsidRPr="00232B07" w:rsidP="00232B07">
      <w:pPr>
        <w:pStyle w:val="Heading1"/>
      </w:pPr>
      <w:bookmarkStart w:id="10" w:name="O_1163692"/>
      <w:bookmarkEnd w:id="10"/>
      <w:r w:rsidRPr="00232B07">
        <w:t>Performance Evidence</w:t>
      </w:r>
    </w:p>
    <w:p w:rsidR="00000000" w:rsidRPr="00232B07" w:rsidP="00C113D3">
      <w:pPr>
        <w:pStyle w:val="BodyText"/>
      </w:pPr>
      <w:r w:rsidRPr="00232B07">
        <w:t>To demonstrate competency, a candidate must meet the elements and performance criteria of this unit by conducting enclosure integrity testing on each of the following types of enclosures where total flooding gaseous agent protection is installed and a door</w:t>
      </w:r>
      <w:r w:rsidRPr="00232B07">
        <w:t>way is fitted:</w:t>
      </w:r>
    </w:p>
    <w:p w:rsidR="00000000" w:rsidRPr="00232B07" w:rsidP="00232B07">
      <w:pPr>
        <w:pStyle w:val="ListBullet"/>
      </w:pPr>
      <w:r w:rsidRPr="00232B07">
        <w:t>computer room</w:t>
      </w:r>
    </w:p>
    <w:p w:rsidR="00000000" w:rsidRPr="00232B07" w:rsidP="00232B07">
      <w:pPr>
        <w:pStyle w:val="ListBullet"/>
      </w:pPr>
      <w:r w:rsidRPr="00232B07">
        <w:t>electrical switch room</w:t>
      </w:r>
    </w:p>
    <w:p w:rsidR="00000000" w:rsidRPr="00232B07" w:rsidP="00232B07">
      <w:pPr>
        <w:pStyle w:val="ListBullet"/>
      </w:pPr>
      <w:r w:rsidRPr="00232B07">
        <w:t>machinery space in a vessel.</w:t>
      </w:r>
    </w:p>
    <w:p w:rsidR="00000000" w:rsidRPr="00232B07" w:rsidP="00232B07">
      <w:pPr>
        <w:pStyle w:val="AllowPageBreak"/>
      </w:pPr>
    </w:p>
    <w:p w:rsidR="00000000" w:rsidRPr="00232B07" w:rsidP="00232B07">
      <w:pPr>
        <w:pStyle w:val="Heading1"/>
      </w:pPr>
      <w:bookmarkStart w:id="11" w:name="O_1163691"/>
      <w:bookmarkEnd w:id="11"/>
      <w:r w:rsidRPr="00232B07">
        <w:t>Knowledge Evidence</w:t>
      </w:r>
    </w:p>
    <w:p w:rsidR="00000000" w:rsidRPr="00232B07" w:rsidP="00C113D3">
      <w:pPr>
        <w:pStyle w:val="BodyText"/>
      </w:pPr>
      <w:r w:rsidRPr="00232B07">
        <w:t>To be competent in this unit, a candidate must demonstrate knowledge of:</w:t>
      </w:r>
    </w:p>
    <w:p w:rsidR="00000000" w:rsidRPr="00232B07" w:rsidP="00232B07">
      <w:pPr>
        <w:pStyle w:val="ListBullet"/>
      </w:pPr>
      <w:r w:rsidRPr="00232B07">
        <w:t>action to take when a breach of regulation, work health and sa</w:t>
      </w:r>
      <w:r w:rsidRPr="00232B07">
        <w:t>fety (WHS) or other policy occurs when conducting enclosure integrity testing of total flooding gaseous agent fire-suppression systems</w:t>
      </w:r>
    </w:p>
    <w:p w:rsidR="00000000" w:rsidRPr="00232B07" w:rsidP="00232B07">
      <w:pPr>
        <w:pStyle w:val="ListBullet"/>
      </w:pPr>
      <w:r w:rsidRPr="00232B07">
        <w:t>features of gaseous agent fire-suppression systems, testing equipment and testing parameters:</w:t>
      </w:r>
    </w:p>
    <w:p w:rsidR="00000000" w:rsidRPr="00232B07" w:rsidP="00232B07">
      <w:pPr>
        <w:pStyle w:val="ListBullet2"/>
      </w:pPr>
      <w:r w:rsidRPr="00232B07">
        <w:t>gaseous agent hold time</w:t>
      </w:r>
    </w:p>
    <w:p w:rsidR="00000000" w:rsidRPr="00232B07" w:rsidP="00232B07">
      <w:pPr>
        <w:pStyle w:val="ListBullet2"/>
      </w:pPr>
      <w:r w:rsidRPr="00232B07">
        <w:t>general operation of a fan test unit</w:t>
      </w:r>
    </w:p>
    <w:p w:rsidR="00000000" w:rsidRPr="00232B07" w:rsidP="00232B07">
      <w:pPr>
        <w:pStyle w:val="ListBullet2"/>
      </w:pPr>
      <w:r w:rsidRPr="00232B07">
        <w:t>installation of equipment</w:t>
      </w:r>
    </w:p>
    <w:p w:rsidR="00000000" w:rsidRPr="00232B07" w:rsidP="00232B07">
      <w:pPr>
        <w:pStyle w:val="ListBullet2"/>
      </w:pPr>
      <w:r w:rsidRPr="00232B07">
        <w:t>operation of equipment</w:t>
      </w:r>
    </w:p>
    <w:p w:rsidR="00000000" w:rsidRPr="00232B07" w:rsidP="00232B07">
      <w:pPr>
        <w:pStyle w:val="ListBullet"/>
      </w:pPr>
      <w:r w:rsidRPr="00232B07">
        <w:t>implications of not complying with regulatory requirements when conducting enclosure integrity testing</w:t>
      </w:r>
    </w:p>
    <w:p w:rsidR="00000000" w:rsidRPr="00232B07" w:rsidP="00232B07">
      <w:pPr>
        <w:pStyle w:val="ListBullet"/>
      </w:pPr>
      <w:r w:rsidRPr="00232B07">
        <w:t>key features of legislation, regulations, codes and Australian Sta</w:t>
      </w:r>
      <w:r w:rsidRPr="00232B07">
        <w:t>ndards relevant to enclosure integrity testing of total flooding gaseous agent fire-suppression systems:</w:t>
      </w:r>
    </w:p>
    <w:p w:rsidR="00000000" w:rsidRPr="00232B07" w:rsidP="00232B07">
      <w:pPr>
        <w:pStyle w:val="ListBullet2"/>
      </w:pPr>
      <w:r w:rsidRPr="00232B07">
        <w:t>extinguishing agent handling licence (EAHL) requirements</w:t>
      </w:r>
    </w:p>
    <w:p w:rsidR="00000000" w:rsidRPr="00232B07" w:rsidP="00232B07">
      <w:pPr>
        <w:pStyle w:val="ListBullet2"/>
      </w:pPr>
      <w:r w:rsidRPr="00232B07">
        <w:t>maintenance schedules</w:t>
      </w:r>
    </w:p>
    <w:p w:rsidR="00000000" w:rsidRPr="00232B07" w:rsidP="00232B07">
      <w:pPr>
        <w:pStyle w:val="ListBullet2"/>
      </w:pPr>
      <w:r w:rsidRPr="00232B07">
        <w:t>pass or fail requirements for gaseous fire extinguishing systems agains</w:t>
      </w:r>
      <w:r w:rsidRPr="00232B07">
        <w:t xml:space="preserve">t </w:t>
      </w:r>
      <w:r w:rsidRPr="00232B07">
        <w:rPr>
          <w:rStyle w:val="Emphasis"/>
        </w:rPr>
        <w:t>AS 4214 Gaseous fire extinguishing systems</w:t>
      </w:r>
      <w:r w:rsidRPr="00232B07">
        <w:t xml:space="preserve"> (or its successor): 10 minute/100 mm against highest protected risk</w:t>
      </w:r>
    </w:p>
    <w:p w:rsidR="00000000" w:rsidRPr="00232B07" w:rsidP="00232B07">
      <w:pPr>
        <w:pStyle w:val="ListBullet2"/>
      </w:pPr>
      <w:r w:rsidRPr="00232B07">
        <w:t>records and documentation</w:t>
      </w:r>
    </w:p>
    <w:p w:rsidR="00000000" w:rsidRPr="00232B07" w:rsidP="00232B07">
      <w:pPr>
        <w:pStyle w:val="ListBullet"/>
      </w:pPr>
      <w:r w:rsidRPr="00232B07">
        <w:t>meaning of common integrity testing terminology:</w:t>
      </w:r>
    </w:p>
    <w:p w:rsidR="00000000" w:rsidRPr="00232B07" w:rsidP="00232B07">
      <w:pPr>
        <w:pStyle w:val="ListBullet2"/>
      </w:pPr>
      <w:r w:rsidRPr="00232B07">
        <w:t>agent loss</w:t>
      </w:r>
    </w:p>
    <w:p w:rsidR="00000000" w:rsidRPr="00232B07" w:rsidP="00232B07">
      <w:pPr>
        <w:pStyle w:val="ListBullet2"/>
      </w:pPr>
      <w:r w:rsidRPr="00232B07">
        <w:t>agent recirculation</w:t>
      </w:r>
    </w:p>
    <w:p w:rsidR="00000000" w:rsidRPr="00232B07" w:rsidP="00232B07">
      <w:pPr>
        <w:pStyle w:val="ListBullet2"/>
      </w:pPr>
      <w:r w:rsidRPr="00232B07">
        <w:t>descending interface (height)</w:t>
      </w:r>
    </w:p>
    <w:p w:rsidR="00000000" w:rsidRPr="00232B07" w:rsidP="00232B07">
      <w:pPr>
        <w:pStyle w:val="ListBullet2"/>
      </w:pPr>
      <w:r w:rsidRPr="00232B07">
        <w:t>highest protected risk (minimum protected equipment height)</w:t>
      </w:r>
    </w:p>
    <w:p w:rsidR="00000000" w:rsidRPr="00232B07" w:rsidP="00232B07">
      <w:pPr>
        <w:pStyle w:val="ListBullet2"/>
      </w:pPr>
      <w:r w:rsidRPr="00232B07">
        <w:t>retention time</w:t>
      </w:r>
    </w:p>
    <w:p w:rsidR="00000000" w:rsidRPr="00232B07" w:rsidP="00232B07">
      <w:pPr>
        <w:pStyle w:val="ListBullet2"/>
      </w:pPr>
      <w:r w:rsidRPr="00232B07">
        <w:t>total leakage area</w:t>
      </w:r>
    </w:p>
    <w:p w:rsidR="00000000" w:rsidRPr="00232B07" w:rsidP="00232B07">
      <w:pPr>
        <w:pStyle w:val="ListBullet2"/>
      </w:pPr>
      <w:r w:rsidRPr="00232B07">
        <w:t>upper and lower leaks</w:t>
      </w:r>
    </w:p>
    <w:p w:rsidR="00000000" w:rsidRPr="00232B07" w:rsidP="00232B07">
      <w:pPr>
        <w:pStyle w:val="ListBullet"/>
      </w:pPr>
      <w:r w:rsidRPr="00232B07">
        <w:t>workplace requirements for conducting enclosure integrity testing:</w:t>
      </w:r>
    </w:p>
    <w:p w:rsidR="00000000" w:rsidRPr="00232B07" w:rsidP="00232B07">
      <w:pPr>
        <w:pStyle w:val="ListBullet2"/>
      </w:pPr>
      <w:r w:rsidRPr="00232B07">
        <w:t>maintenance of tools and equipment</w:t>
      </w:r>
    </w:p>
    <w:p w:rsidR="00000000" w:rsidRPr="00232B07" w:rsidP="00232B07">
      <w:pPr>
        <w:pStyle w:val="ListBullet2"/>
      </w:pPr>
      <w:r w:rsidRPr="00232B07">
        <w:t>WHS, including hazard and risk ident</w:t>
      </w:r>
      <w:r w:rsidRPr="00232B07">
        <w:t>ification and control.</w:t>
      </w:r>
    </w:p>
    <w:p w:rsidR="00000000" w:rsidRPr="00232B07" w:rsidP="00232B07">
      <w:pPr>
        <w:pStyle w:val="AllowPageBreak"/>
      </w:pPr>
    </w:p>
    <w:p w:rsidR="00000000" w:rsidRPr="00232B07" w:rsidP="00232B07">
      <w:pPr>
        <w:pStyle w:val="Heading1"/>
      </w:pPr>
      <w:bookmarkStart w:id="12" w:name="O_1163690"/>
      <w:bookmarkEnd w:id="12"/>
      <w:r w:rsidRPr="00232B07">
        <w:t>Assessment Conditions</w:t>
      </w:r>
    </w:p>
    <w:p w:rsidR="00000000" w:rsidRPr="00232B07" w:rsidP="00C113D3">
      <w:pPr>
        <w:pStyle w:val="BodyText"/>
      </w:pPr>
      <w:r w:rsidRPr="00232B07">
        <w:t xml:space="preserve">Assessors must meet the requirements for assessors contained in the Standards for Registered Training Organisations. </w:t>
      </w:r>
    </w:p>
    <w:p w:rsidR="00000000" w:rsidRPr="00232B07" w:rsidP="00C113D3">
      <w:pPr>
        <w:pStyle w:val="BodyText"/>
      </w:pPr>
      <w:r w:rsidRPr="00232B07">
        <w:t>Assessment must be conducted in the workplace or a simulated workplace usi</w:t>
      </w:r>
      <w:r w:rsidRPr="00232B07">
        <w:t>ng realistic conditions, materials, activities, responsibilities, procedures, safety requirements and environmental considerations.</w:t>
      </w:r>
    </w:p>
    <w:p w:rsidR="00000000" w:rsidRPr="00232B07" w:rsidP="00C113D3">
      <w:pPr>
        <w:pStyle w:val="BodyText"/>
      </w:pPr>
      <w:r w:rsidRPr="00232B07">
        <w:t>Candidates must have access to documentation, tools, testing devices, equipment and enclosures with total flooding gas</w:t>
      </w:r>
      <w:r w:rsidRPr="00232B07">
        <w:t>eous agent protection required to achieve the performance evidence.</w:t>
      </w:r>
    </w:p>
    <w:p w:rsidR="00000000" w:rsidRPr="00232B07" w:rsidP="00232B07">
      <w:pPr>
        <w:pStyle w:val="Heading1"/>
      </w:pPr>
      <w:bookmarkStart w:id="13" w:name="O_1163688"/>
      <w:bookmarkEnd w:id="13"/>
      <w:r w:rsidRPr="00232B07">
        <w:t>Links</w:t>
      </w:r>
    </w:p>
    <w:p w:rsidR="00000000" w:rsidRPr="00232B07" w:rsidP="00C113D3">
      <w:pPr>
        <w:pStyle w:val="BodyText"/>
      </w:pPr>
      <w:r w:rsidRPr="00232B0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B8380C">
        <w:rPr>
          <w:rStyle w:val="Hyperlink"/>
        </w:rPr>
        <w:t>https://vetnet.gov.au/Pages/TrainingDocs.aspx?q=6f3f9672-30e8-4835-b348-205dfcf13d9b</w:t>
      </w:r>
      <w:r>
        <w:fldChar w:fldCharType="end"/>
      </w:r>
    </w:p>
    <w:p w:rsidR="00000000" w:rsidRPr="00232B07" w:rsidP="00232B07"/>
    <w:sectPr w:rsidSect="00232B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rsidRPr="00C113D3" w:rsidP="00C113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D3" w:rsidP="00232B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13D3" w:rsidP="00232B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113D3" w:rsidP="00232B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rsidP="00232B07">
    <w:pPr>
      <w:pStyle w:val="Footer"/>
      <w:framePr w:wrap="around"/>
    </w:pPr>
    <w:r>
      <w:fldChar w:fldCharType="begin"/>
    </w:r>
    <w:r>
      <w:instrText xml:space="preserve"> DOCPROPERTY  Subject  \* MERGEFORMAT </w:instrText>
    </w:r>
    <w:r>
      <w:fldChar w:fldCharType="separate"/>
    </w:r>
    <w:r w:rsidR="00C113D3">
      <w:t>Approved</w:t>
    </w:r>
    <w:r w:rsidR="00C113D3">
      <w:fldChar w:fldCharType="end"/>
    </w:r>
    <w:r>
      <w:tab/>
      <w:t xml:space="preserve">Page </w:t>
    </w:r>
    <w:r>
      <w:fldChar w:fldCharType="begin"/>
    </w:r>
    <w:r>
      <w:instrText xml:space="preserve"> PAGE  \* Arabic  \* MERGEFORMAT </w:instrText>
    </w:r>
    <w:r>
      <w:fldChar w:fldCharType="separate"/>
    </w:r>
    <w:r w:rsidR="00C113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13D3">
      <w:rPr>
        <w:noProof/>
      </w:rPr>
      <w:t>4</w:t>
    </w:r>
    <w:r>
      <w:rPr>
        <w:noProof/>
      </w:rPr>
      <w:fldChar w:fldCharType="end"/>
    </w:r>
  </w:p>
  <w:p w:rsidR="00232B07" w:rsidP="00232B07">
    <w:pPr>
      <w:pStyle w:val="Footer"/>
      <w:framePr w:wrap="around"/>
    </w:pPr>
    <w:r>
      <w:t xml:space="preserve">© Commonwealth of Australia, </w:t>
    </w:r>
    <w:r>
      <w:fldChar w:fldCharType="begin"/>
    </w:r>
    <w:r>
      <w:instrText xml:space="preserve"> DATE  \@ "yyyy"  \* MERGEFORMAT </w:instrText>
    </w:r>
    <w:r>
      <w:fldChar w:fldCharType="separate"/>
    </w:r>
    <w:r w:rsidR="00C113D3">
      <w:rPr>
        <w:noProof/>
      </w:rPr>
      <w:t>2025</w:t>
    </w:r>
    <w:r>
      <w:fldChar w:fldCharType="end"/>
    </w:r>
    <w:r>
      <w:tab/>
    </w:r>
    <w:r>
      <w:fldChar w:fldCharType="begin"/>
    </w:r>
    <w:r>
      <w:instrText xml:space="preserve"> DOCPROPERTY  Author  \* MERGEFORMAT </w:instrText>
    </w:r>
    <w:r>
      <w:fldChar w:fldCharType="separate"/>
    </w:r>
    <w:r w:rsidR="00C113D3">
      <w:t>BuildSkills Australia</w:t>
    </w:r>
    <w:r w:rsidR="00C113D3">
      <w:fldChar w:fldCharType="end"/>
    </w:r>
  </w:p>
  <w:p w:rsidR="00232B07" w:rsidP="00232B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2B07" w:rsidRPr="00C113D3" w:rsidP="00C113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3D3" w:rsidRPr="002D2AF8" w:rsidP="00232B07">
    <w:pPr>
      <w:pStyle w:val="Header"/>
      <w:framePr w:wrap="around"/>
    </w:pPr>
    <w:r>
      <w:fldChar w:fldCharType="begin"/>
    </w:r>
    <w:r>
      <w:instrText xml:space="preserve"> TITLE   \* MERGEFORMAT </w:instrText>
    </w:r>
    <w:r>
      <w:fldChar w:fldCharType="separate"/>
    </w:r>
    <w:r>
      <w:t>CPPFES3032 Conduct enclosure integrity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13D3" w:rsidP="00232B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B07" w:rsidRPr="002D2AF8" w:rsidP="00232B07">
    <w:pPr>
      <w:pStyle w:val="Header"/>
      <w:framePr w:wrap="around"/>
    </w:pPr>
    <w:r>
      <w:fldChar w:fldCharType="begin"/>
    </w:r>
    <w:r>
      <w:instrText xml:space="preserve"> TITLE   \* MERGEFORMAT </w:instrText>
    </w:r>
    <w:r>
      <w:fldChar w:fldCharType="separate"/>
    </w:r>
    <w:r w:rsidR="00C113D3">
      <w:t>CPPFES3032 Conduct enclosure integrity testing</w:t>
    </w:r>
    <w:r w:rsidR="00C113D3">
      <w:fldChar w:fldCharType="end"/>
    </w:r>
    <w:r>
      <w:tab/>
      <w:t xml:space="preserve">Date this document was generated: </w:t>
    </w:r>
    <w:r>
      <w:fldChar w:fldCharType="begin"/>
    </w:r>
    <w:r>
      <w:instrText xml:space="preserve"> CREATEDATE  \@ "d MMMM yyyy"  \* MERGEFORMAT </w:instrText>
    </w:r>
    <w:r>
      <w:fldChar w:fldCharType="separate"/>
    </w:r>
    <w:r w:rsidR="00C113D3">
      <w:rPr>
        <w:noProof/>
      </w:rPr>
      <w:t>2 March 2025</w:t>
    </w:r>
    <w:r>
      <w:fldChar w:fldCharType="end"/>
    </w:r>
  </w:p>
  <w:p w:rsidR="00232B07" w:rsidP="00232B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6E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E60C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C07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2B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2B07"/>
    <w:pPr>
      <w:spacing w:before="360" w:after="60"/>
      <w:outlineLvl w:val="0"/>
    </w:pPr>
    <w:rPr>
      <w:sz w:val="32"/>
    </w:rPr>
  </w:style>
  <w:style w:type="paragraph" w:styleId="Heading2">
    <w:name w:val="heading 2"/>
    <w:basedOn w:val="HeadingBase"/>
    <w:next w:val="BodyText"/>
    <w:link w:val="Heading2Char"/>
    <w:qFormat/>
    <w:rsid w:val="00232B07"/>
    <w:pPr>
      <w:keepLines/>
      <w:spacing w:before="240" w:after="120"/>
      <w:outlineLvl w:val="1"/>
    </w:pPr>
    <w:rPr>
      <w:sz w:val="28"/>
      <w:szCs w:val="40"/>
    </w:rPr>
  </w:style>
  <w:style w:type="paragraph" w:styleId="Heading3">
    <w:name w:val="heading 3"/>
    <w:basedOn w:val="HeadingBase"/>
    <w:next w:val="BodyText"/>
    <w:link w:val="Heading3Char"/>
    <w:qFormat/>
    <w:rsid w:val="00232B07"/>
    <w:pPr>
      <w:spacing w:before="180" w:after="120"/>
      <w:outlineLvl w:val="2"/>
    </w:pPr>
    <w:rPr>
      <w:spacing w:val="-10"/>
      <w:kern w:val="32"/>
    </w:rPr>
  </w:style>
  <w:style w:type="paragraph" w:styleId="Heading4">
    <w:name w:val="heading 4"/>
    <w:basedOn w:val="HeadingBase"/>
    <w:next w:val="BodyText"/>
    <w:link w:val="Heading4Char"/>
    <w:qFormat/>
    <w:rsid w:val="00232B07"/>
    <w:pPr>
      <w:spacing w:before="160" w:after="120"/>
      <w:outlineLvl w:val="3"/>
    </w:pPr>
    <w:rPr>
      <w:sz w:val="22"/>
    </w:rPr>
  </w:style>
  <w:style w:type="paragraph" w:styleId="Heading5">
    <w:name w:val="heading 5"/>
    <w:basedOn w:val="HeadingBase"/>
    <w:next w:val="Normal"/>
    <w:link w:val="Heading5Char"/>
    <w:qFormat/>
    <w:rsid w:val="00232B07"/>
    <w:pPr>
      <w:spacing w:before="80"/>
      <w:outlineLvl w:val="4"/>
    </w:pPr>
    <w:rPr>
      <w:color w:val="918585"/>
      <w:sz w:val="20"/>
    </w:rPr>
  </w:style>
  <w:style w:type="paragraph" w:styleId="Heading6">
    <w:name w:val="heading 6"/>
    <w:basedOn w:val="HeadingBase"/>
    <w:next w:val="Normal"/>
    <w:link w:val="Heading6Char"/>
    <w:qFormat/>
    <w:rsid w:val="00232B07"/>
    <w:pPr>
      <w:spacing w:before="60"/>
      <w:outlineLvl w:val="5"/>
    </w:pPr>
    <w:rPr>
      <w:color w:val="918585"/>
      <w:sz w:val="20"/>
    </w:rPr>
  </w:style>
  <w:style w:type="paragraph" w:styleId="Heading7">
    <w:name w:val="heading 7"/>
    <w:basedOn w:val="Normal"/>
    <w:next w:val="Normal"/>
    <w:link w:val="Heading7Char"/>
    <w:qFormat/>
    <w:rsid w:val="00232B07"/>
    <w:pPr>
      <w:ind w:left="720"/>
      <w:outlineLvl w:val="6"/>
    </w:pPr>
    <w:rPr>
      <w:i/>
    </w:rPr>
  </w:style>
  <w:style w:type="paragraph" w:styleId="Heading8">
    <w:name w:val="heading 8"/>
    <w:basedOn w:val="Normal"/>
    <w:next w:val="Normal"/>
    <w:link w:val="Heading8Char"/>
    <w:qFormat/>
    <w:rsid w:val="00232B07"/>
    <w:pPr>
      <w:ind w:left="720"/>
      <w:outlineLvl w:val="7"/>
    </w:pPr>
    <w:rPr>
      <w:i/>
    </w:rPr>
  </w:style>
  <w:style w:type="paragraph" w:styleId="Heading9">
    <w:name w:val="heading 9"/>
    <w:basedOn w:val="Normal"/>
    <w:next w:val="Normal"/>
    <w:link w:val="Heading9Char"/>
    <w:qFormat/>
    <w:rsid w:val="00232B07"/>
    <w:pPr>
      <w:ind w:left="720"/>
      <w:outlineLvl w:val="8"/>
    </w:pPr>
    <w:rPr>
      <w:i/>
    </w:rPr>
  </w:style>
  <w:style w:type="character" w:default="1" w:styleId="DefaultParagraphFont">
    <w:name w:val="Default Paragraph Font"/>
    <w:uiPriority w:val="1"/>
    <w:unhideWhenUsed/>
    <w:rsid w:val="00232B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2B07"/>
  </w:style>
  <w:style w:type="character" w:customStyle="1" w:styleId="Heading1Char">
    <w:name w:val="Heading 1 Char"/>
    <w:basedOn w:val="DefaultParagraphFont"/>
    <w:link w:val="Heading1"/>
    <w:rsid w:val="00232B07"/>
    <w:rPr>
      <w:rFonts w:ascii="Times New Roman" w:eastAsia="Times New Roman" w:hAnsi="Times New Roman" w:cs="Times New Roman"/>
      <w:b/>
      <w:sz w:val="32"/>
      <w:szCs w:val="20"/>
      <w:lang w:eastAsia="en-US"/>
    </w:rPr>
  </w:style>
  <w:style w:type="paragraph" w:styleId="BodyText">
    <w:name w:val="Body Text"/>
    <w:basedOn w:val="Normal"/>
    <w:link w:val="BodyTextChar"/>
    <w:rsid w:val="00232B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2B07"/>
    <w:rPr>
      <w:rFonts w:ascii="Times New Roman" w:eastAsia="Times New Roman" w:hAnsi="Times New Roman" w:cs="Times New Roman"/>
      <w:sz w:val="24"/>
      <w:lang w:eastAsia="en-US"/>
    </w:rPr>
  </w:style>
  <w:style w:type="paragraph" w:styleId="ListBullet">
    <w:name w:val="List Bullet"/>
    <w:basedOn w:val="List"/>
    <w:rsid w:val="00232B07"/>
    <w:pPr>
      <w:numPr>
        <w:numId w:val="12"/>
      </w:numPr>
      <w:tabs>
        <w:tab w:val="clear" w:pos="340"/>
      </w:tabs>
      <w:spacing w:before="40" w:after="40"/>
    </w:pPr>
  </w:style>
  <w:style w:type="paragraph" w:styleId="ListBullet2">
    <w:name w:val="List Bullet 2"/>
    <w:basedOn w:val="List2"/>
    <w:rsid w:val="00232B07"/>
    <w:pPr>
      <w:numPr>
        <w:numId w:val="13"/>
      </w:numPr>
      <w:tabs>
        <w:tab w:val="clear" w:pos="680"/>
      </w:tabs>
    </w:pPr>
  </w:style>
  <w:style w:type="character" w:styleId="Emphasis">
    <w:name w:val="Emphasis"/>
    <w:basedOn w:val="DefaultParagraphFont"/>
    <w:qFormat/>
    <w:rsid w:val="00232B07"/>
    <w:rPr>
      <w:i/>
    </w:rPr>
  </w:style>
  <w:style w:type="paragraph" w:customStyle="1" w:styleId="SuperHeading">
    <w:name w:val="SuperHeading"/>
    <w:basedOn w:val="Normal"/>
    <w:rsid w:val="00232B07"/>
    <w:pPr>
      <w:spacing w:before="240" w:after="120"/>
      <w:outlineLvl w:val="0"/>
    </w:pPr>
    <w:rPr>
      <w:rFonts w:ascii="Times New Roman" w:hAnsi="Times New Roman"/>
      <w:b/>
      <w:sz w:val="32"/>
    </w:rPr>
  </w:style>
  <w:style w:type="paragraph" w:customStyle="1" w:styleId="AllowPageBreak">
    <w:name w:val="AllowPageBreak"/>
    <w:rsid w:val="00232B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2B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2B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2B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2B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2B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2B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2B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2B07"/>
    <w:rPr>
      <w:rFonts w:ascii="Courier New" w:eastAsia="Times New Roman" w:hAnsi="Courier New" w:cs="Times New Roman"/>
      <w:i/>
      <w:szCs w:val="20"/>
      <w:lang w:eastAsia="en-US"/>
    </w:rPr>
  </w:style>
  <w:style w:type="paragraph" w:customStyle="1" w:styleId="HeadingBase">
    <w:name w:val="Heading Base"/>
    <w:rsid w:val="00232B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2B07"/>
    <w:pPr>
      <w:tabs>
        <w:tab w:val="right" w:leader="dot" w:pos="9072"/>
      </w:tabs>
      <w:ind w:left="567"/>
    </w:pPr>
    <w:rPr>
      <w:szCs w:val="22"/>
    </w:rPr>
  </w:style>
  <w:style w:type="paragraph" w:customStyle="1" w:styleId="TOCBase">
    <w:name w:val="TOC Base"/>
    <w:rsid w:val="00232B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2B07"/>
    <w:pPr>
      <w:tabs>
        <w:tab w:val="right" w:leader="dot" w:pos="9072"/>
      </w:tabs>
      <w:spacing w:before="40" w:after="40"/>
      <w:ind w:left="284"/>
    </w:pPr>
    <w:rPr>
      <w:rFonts w:ascii="Times New Roman" w:hAnsi="Times New Roman"/>
    </w:rPr>
  </w:style>
  <w:style w:type="paragraph" w:styleId="TOC1">
    <w:name w:val="toc 1"/>
    <w:basedOn w:val="TOCBase"/>
    <w:next w:val="Normal"/>
    <w:rsid w:val="00232B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2B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2B07"/>
    <w:rPr>
      <w:rFonts w:ascii="Times New Roman" w:eastAsia="Times New Roman" w:hAnsi="Times New Roman" w:cs="Times New Roman"/>
      <w:sz w:val="16"/>
      <w:lang w:eastAsia="en-US"/>
    </w:rPr>
  </w:style>
  <w:style w:type="paragraph" w:styleId="Title">
    <w:name w:val="Title"/>
    <w:basedOn w:val="HeadingBase"/>
    <w:link w:val="TitleChar"/>
    <w:qFormat/>
    <w:rsid w:val="00232B07"/>
    <w:pPr>
      <w:spacing w:before="5040"/>
      <w:jc w:val="center"/>
    </w:pPr>
    <w:rPr>
      <w:sz w:val="48"/>
      <w:szCs w:val="72"/>
      <w:lang w:val="en-US"/>
    </w:rPr>
  </w:style>
  <w:style w:type="character" w:customStyle="1" w:styleId="TitleChar">
    <w:name w:val="Title Char"/>
    <w:basedOn w:val="DefaultParagraphFont"/>
    <w:link w:val="Title"/>
    <w:rsid w:val="00232B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2B07"/>
    <w:pPr>
      <w:tabs>
        <w:tab w:val="left" w:pos="3600"/>
        <w:tab w:val="left" w:pos="3958"/>
      </w:tabs>
    </w:pPr>
  </w:style>
  <w:style w:type="paragraph" w:styleId="List">
    <w:name w:val="List"/>
    <w:basedOn w:val="BodyText"/>
    <w:next w:val="BodyText"/>
    <w:rsid w:val="00232B07"/>
    <w:pPr>
      <w:tabs>
        <w:tab w:val="left" w:pos="340"/>
      </w:tabs>
      <w:spacing w:before="60" w:after="60"/>
      <w:ind w:left="340" w:hanging="340"/>
    </w:pPr>
  </w:style>
  <w:style w:type="paragraph" w:customStyle="1" w:styleId="Note">
    <w:name w:val="Note"/>
    <w:basedOn w:val="BodyText"/>
    <w:rsid w:val="00232B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2B07"/>
    <w:rPr>
      <w:b/>
      <w:spacing w:val="0"/>
    </w:rPr>
  </w:style>
  <w:style w:type="paragraph" w:customStyle="1" w:styleId="SuperTitle">
    <w:name w:val="SuperTitle"/>
    <w:basedOn w:val="Title"/>
    <w:rsid w:val="00232B07"/>
    <w:pPr>
      <w:framePr w:wrap="auto" w:hAnchor="text" w:y="6049"/>
    </w:pPr>
    <w:rPr>
      <w:color w:val="000000"/>
      <w:sz w:val="40"/>
    </w:rPr>
  </w:style>
  <w:style w:type="paragraph" w:customStyle="1" w:styleId="TOCTitle">
    <w:name w:val="TOCTitle"/>
    <w:basedOn w:val="Heading1"/>
    <w:rsid w:val="00232B07"/>
    <w:pPr>
      <w:spacing w:after="240"/>
      <w:jc w:val="center"/>
      <w:outlineLvl w:val="9"/>
    </w:pPr>
    <w:rPr>
      <w:caps/>
    </w:rPr>
  </w:style>
  <w:style w:type="paragraph" w:customStyle="1" w:styleId="Version">
    <w:name w:val="Version"/>
    <w:rsid w:val="00232B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2B07"/>
    <w:pPr>
      <w:keepNext w:val="0"/>
      <w:tabs>
        <w:tab w:val="right" w:pos="4176"/>
      </w:tabs>
      <w:ind w:left="198" w:hanging="198"/>
    </w:pPr>
    <w:rPr>
      <w:rFonts w:ascii="Garamond" w:hAnsi="Garamond"/>
    </w:rPr>
  </w:style>
  <w:style w:type="paragraph" w:styleId="IndexHeading">
    <w:name w:val="index heading"/>
    <w:basedOn w:val="Normal"/>
    <w:next w:val="Index1"/>
    <w:semiHidden/>
    <w:rsid w:val="00232B07"/>
    <w:pPr>
      <w:spacing w:before="120" w:after="120"/>
    </w:pPr>
    <w:rPr>
      <w:rFonts w:ascii="Arial" w:hAnsi="Arial"/>
      <w:b/>
      <w:color w:val="918585"/>
      <w:sz w:val="24"/>
    </w:rPr>
  </w:style>
  <w:style w:type="paragraph" w:styleId="Header">
    <w:name w:val="header"/>
    <w:basedOn w:val="Normal"/>
    <w:link w:val="HeaderChar"/>
    <w:rsid w:val="00232B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2B07"/>
    <w:rPr>
      <w:rFonts w:ascii="Times New Roman" w:eastAsia="Times New Roman" w:hAnsi="Times New Roman" w:cs="Times New Roman"/>
      <w:sz w:val="16"/>
      <w:szCs w:val="20"/>
      <w:lang w:val="en-GB" w:eastAsia="en-US"/>
    </w:rPr>
  </w:style>
  <w:style w:type="paragraph" w:customStyle="1" w:styleId="Chapter">
    <w:name w:val="Chapter"/>
    <w:basedOn w:val="Normal"/>
    <w:rsid w:val="00232B07"/>
    <w:pPr>
      <w:spacing w:before="240"/>
    </w:pPr>
    <w:rPr>
      <w:rFonts w:ascii="Times New Roman" w:hAnsi="Times New Roman"/>
      <w:smallCaps/>
      <w:spacing w:val="80"/>
      <w:sz w:val="28"/>
    </w:rPr>
  </w:style>
  <w:style w:type="paragraph" w:customStyle="1" w:styleId="InChapter">
    <w:name w:val="InChapter"/>
    <w:basedOn w:val="Heading3"/>
    <w:rsid w:val="00232B07"/>
    <w:pPr>
      <w:spacing w:after="240"/>
      <w:outlineLvl w:val="9"/>
    </w:pPr>
    <w:rPr>
      <w:noProof/>
    </w:rPr>
  </w:style>
  <w:style w:type="paragraph" w:styleId="Index2">
    <w:name w:val="index 2"/>
    <w:basedOn w:val="Normal"/>
    <w:next w:val="Normal"/>
    <w:semiHidden/>
    <w:rsid w:val="00232B07"/>
    <w:pPr>
      <w:tabs>
        <w:tab w:val="right" w:pos="4176"/>
      </w:tabs>
      <w:ind w:left="568" w:hanging="284"/>
    </w:pPr>
    <w:rPr>
      <w:rFonts w:ascii="Garamond" w:hAnsi="Garamond"/>
    </w:rPr>
  </w:style>
  <w:style w:type="paragraph" w:customStyle="1" w:styleId="Byline">
    <w:name w:val="Byline"/>
    <w:rsid w:val="00232B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2B07"/>
    <w:pPr>
      <w:tabs>
        <w:tab w:val="clear" w:pos="3600"/>
        <w:tab w:val="clear" w:pos="3958"/>
      </w:tabs>
      <w:jc w:val="right"/>
    </w:pPr>
  </w:style>
  <w:style w:type="paragraph" w:styleId="Caption">
    <w:name w:val="caption"/>
    <w:basedOn w:val="BodyText"/>
    <w:next w:val="Normal"/>
    <w:qFormat/>
    <w:rsid w:val="00232B07"/>
    <w:pPr>
      <w:framePr w:w="2268" w:hSpace="181" w:vSpace="181" w:wrap="around" w:vAnchor="text" w:hAnchor="page" w:x="1135" w:y="285" w:anchorLock="1"/>
    </w:pPr>
    <w:rPr>
      <w:i/>
    </w:rPr>
  </w:style>
  <w:style w:type="paragraph" w:customStyle="1" w:styleId="MiniTOCTitle">
    <w:name w:val="MiniTOCTitle"/>
    <w:basedOn w:val="Heading4"/>
    <w:rsid w:val="00232B07"/>
    <w:pPr>
      <w:spacing w:before="240"/>
      <w:outlineLvl w:val="9"/>
    </w:pPr>
    <w:rPr>
      <w:noProof/>
      <w:sz w:val="24"/>
    </w:rPr>
  </w:style>
  <w:style w:type="paragraph" w:customStyle="1" w:styleId="MiniTOCItem">
    <w:name w:val="MiniTOCItem"/>
    <w:basedOn w:val="ListBullet"/>
    <w:rsid w:val="00232B07"/>
    <w:pPr>
      <w:numPr>
        <w:numId w:val="0"/>
      </w:numPr>
      <w:tabs>
        <w:tab w:val="right" w:leader="dot" w:pos="6521"/>
      </w:tabs>
      <w:spacing w:before="0" w:after="0"/>
    </w:pPr>
  </w:style>
  <w:style w:type="paragraph" w:customStyle="1" w:styleId="TOFTitle">
    <w:name w:val="TOFTitle"/>
    <w:basedOn w:val="TOCTitle"/>
    <w:rsid w:val="00232B07"/>
  </w:style>
  <w:style w:type="paragraph" w:styleId="TableofFigures">
    <w:name w:val="table of figures"/>
    <w:basedOn w:val="Normal"/>
    <w:next w:val="Normal"/>
    <w:semiHidden/>
    <w:rsid w:val="00232B07"/>
    <w:pPr>
      <w:tabs>
        <w:tab w:val="right" w:leader="dot" w:pos="9072"/>
      </w:tabs>
      <w:ind w:left="970" w:hanging="403"/>
    </w:pPr>
    <w:rPr>
      <w:rFonts w:ascii="Times New Roman" w:hAnsi="Times New Roman"/>
      <w:b/>
    </w:rPr>
  </w:style>
  <w:style w:type="paragraph" w:styleId="ListNumber">
    <w:name w:val="List Number"/>
    <w:basedOn w:val="List"/>
    <w:rsid w:val="00232B07"/>
    <w:pPr>
      <w:numPr>
        <w:numId w:val="15"/>
      </w:numPr>
      <w:tabs>
        <w:tab w:val="clear" w:pos="340"/>
      </w:tabs>
    </w:pPr>
  </w:style>
  <w:style w:type="character" w:customStyle="1" w:styleId="WingdingSymbols">
    <w:name w:val="Wingding Symbols"/>
    <w:rsid w:val="00232B07"/>
    <w:rPr>
      <w:rFonts w:ascii="Wingdings" w:hAnsi="Wingdings"/>
    </w:rPr>
  </w:style>
  <w:style w:type="paragraph" w:customStyle="1" w:styleId="TableHeading">
    <w:name w:val="Table Heading"/>
    <w:basedOn w:val="HeadingBase"/>
    <w:rsid w:val="00232B07"/>
    <w:pPr>
      <w:keepLines/>
      <w:pBdr>
        <w:bottom w:val="single" w:sz="6" w:space="1" w:color="918585"/>
      </w:pBdr>
      <w:spacing w:before="240"/>
    </w:pPr>
  </w:style>
  <w:style w:type="character" w:customStyle="1" w:styleId="HotSpot">
    <w:name w:val="HotSpot"/>
    <w:rsid w:val="00232B07"/>
    <w:rPr>
      <w:color w:val="0033CC"/>
      <w:u w:val="none"/>
    </w:rPr>
  </w:style>
  <w:style w:type="paragraph" w:customStyle="1" w:styleId="BodyTextRight">
    <w:name w:val="Body Text Right"/>
    <w:basedOn w:val="BodyText"/>
    <w:rsid w:val="00232B07"/>
    <w:pPr>
      <w:spacing w:before="0" w:after="0"/>
      <w:jc w:val="right"/>
    </w:pPr>
  </w:style>
  <w:style w:type="paragraph" w:styleId="Index3">
    <w:name w:val="index 3"/>
    <w:basedOn w:val="ListNumber2"/>
    <w:next w:val="Normal"/>
    <w:semiHidden/>
    <w:rsid w:val="00232B07"/>
    <w:pPr>
      <w:numPr>
        <w:numId w:val="0"/>
      </w:numPr>
      <w:tabs>
        <w:tab w:val="right" w:leader="dot" w:pos="4176"/>
      </w:tabs>
    </w:pPr>
  </w:style>
  <w:style w:type="paragraph" w:styleId="ListNumber2">
    <w:name w:val="List Number 2"/>
    <w:basedOn w:val="List2"/>
    <w:rsid w:val="00232B07"/>
    <w:pPr>
      <w:numPr>
        <w:numId w:val="10"/>
      </w:numPr>
      <w:tabs>
        <w:tab w:val="clear" w:pos="1060"/>
      </w:tabs>
    </w:pPr>
  </w:style>
  <w:style w:type="paragraph" w:customStyle="1" w:styleId="MarginNote">
    <w:name w:val="Margin Note"/>
    <w:basedOn w:val="BodyText"/>
    <w:rsid w:val="00232B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2B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2B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2B07"/>
    <w:rPr>
      <w:sz w:val="32"/>
    </w:rPr>
  </w:style>
  <w:style w:type="paragraph" w:customStyle="1" w:styleId="HeadingProcedure">
    <w:name w:val="Heading Procedure"/>
    <w:basedOn w:val="HeadingBase"/>
    <w:next w:val="Normal"/>
    <w:rsid w:val="00232B07"/>
    <w:pPr>
      <w:tabs>
        <w:tab w:val="left" w:pos="0"/>
      </w:tabs>
      <w:spacing w:before="120" w:after="60"/>
    </w:pPr>
    <w:rPr>
      <w:i/>
      <w:color w:val="918585"/>
      <w:sz w:val="22"/>
    </w:rPr>
  </w:style>
  <w:style w:type="paragraph" w:customStyle="1" w:styleId="TableBodyText">
    <w:name w:val="Table Body Text"/>
    <w:basedOn w:val="BodyText"/>
    <w:rsid w:val="00232B07"/>
    <w:pPr>
      <w:spacing w:before="60" w:after="60"/>
    </w:pPr>
  </w:style>
  <w:style w:type="paragraph" w:styleId="ListContinue">
    <w:name w:val="List Continue"/>
    <w:basedOn w:val="List"/>
    <w:rsid w:val="00232B07"/>
    <w:pPr>
      <w:ind w:firstLine="0"/>
    </w:pPr>
  </w:style>
  <w:style w:type="paragraph" w:customStyle="1" w:styleId="ListNote">
    <w:name w:val="List Note"/>
    <w:basedOn w:val="List"/>
    <w:rsid w:val="00232B07"/>
    <w:pPr>
      <w:pBdr>
        <w:top w:val="single" w:sz="6" w:space="2" w:color="918585"/>
        <w:bottom w:val="single" w:sz="6" w:space="2" w:color="918585"/>
      </w:pBdr>
      <w:tabs>
        <w:tab w:val="left" w:pos="1021"/>
      </w:tabs>
      <w:ind w:firstLine="0"/>
    </w:pPr>
  </w:style>
  <w:style w:type="paragraph" w:customStyle="1" w:styleId="Warning">
    <w:name w:val="Warning"/>
    <w:basedOn w:val="BodyText"/>
    <w:rsid w:val="00232B07"/>
    <w:pPr>
      <w:shd w:val="clear" w:color="auto" w:fill="D9D9D9"/>
      <w:tabs>
        <w:tab w:val="left" w:pos="992"/>
      </w:tabs>
      <w:ind w:left="119" w:right="119"/>
    </w:pPr>
    <w:rPr>
      <w:sz w:val="20"/>
    </w:rPr>
  </w:style>
  <w:style w:type="paragraph" w:customStyle="1" w:styleId="MarginIcons">
    <w:name w:val="Margin Icons"/>
    <w:basedOn w:val="BodyText"/>
    <w:rsid w:val="00232B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2B07"/>
    <w:rPr>
      <w:rFonts w:ascii="Courier New" w:hAnsi="Courier New"/>
    </w:rPr>
  </w:style>
  <w:style w:type="paragraph" w:customStyle="1" w:styleId="NoteBullet">
    <w:name w:val="Note Bullet"/>
    <w:basedOn w:val="Note"/>
    <w:rsid w:val="00232B07"/>
    <w:pPr>
      <w:tabs>
        <w:tab w:val="clear" w:pos="680"/>
      </w:tabs>
      <w:spacing w:before="60" w:after="60"/>
    </w:pPr>
  </w:style>
  <w:style w:type="paragraph" w:customStyle="1" w:styleId="SubHeading2">
    <w:name w:val="SubHeading2"/>
    <w:basedOn w:val="HeadingBase"/>
    <w:rsid w:val="00232B07"/>
    <w:pPr>
      <w:spacing w:before="240" w:after="60"/>
    </w:pPr>
    <w:rPr>
      <w:sz w:val="20"/>
    </w:rPr>
  </w:style>
  <w:style w:type="paragraph" w:customStyle="1" w:styleId="SubHeading1">
    <w:name w:val="SubHeading1"/>
    <w:basedOn w:val="HeadingBase"/>
    <w:rsid w:val="00232B07"/>
    <w:pPr>
      <w:spacing w:before="240" w:after="60"/>
    </w:pPr>
    <w:rPr>
      <w:color w:val="918585"/>
      <w:sz w:val="22"/>
    </w:rPr>
  </w:style>
  <w:style w:type="paragraph" w:customStyle="1" w:styleId="SideHeading">
    <w:name w:val="Side Heading"/>
    <w:basedOn w:val="HeadingBase"/>
    <w:rsid w:val="00232B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2B07"/>
    <w:pPr>
      <w:tabs>
        <w:tab w:val="num" w:pos="360"/>
      </w:tabs>
    </w:pPr>
  </w:style>
  <w:style w:type="paragraph" w:styleId="PlainText">
    <w:name w:val="Plain Text"/>
    <w:basedOn w:val="Normal"/>
    <w:link w:val="PlainTextChar"/>
    <w:rsid w:val="00232B07"/>
    <w:rPr>
      <w:sz w:val="20"/>
    </w:rPr>
  </w:style>
  <w:style w:type="character" w:customStyle="1" w:styleId="PlainTextChar">
    <w:name w:val="Plain Text Char"/>
    <w:basedOn w:val="DefaultParagraphFont"/>
    <w:link w:val="PlainText"/>
    <w:rsid w:val="00232B07"/>
    <w:rPr>
      <w:rFonts w:ascii="Courier New" w:eastAsia="Times New Roman" w:hAnsi="Courier New" w:cs="Times New Roman"/>
      <w:sz w:val="20"/>
      <w:szCs w:val="20"/>
      <w:lang w:eastAsia="en-US"/>
    </w:rPr>
  </w:style>
  <w:style w:type="character" w:customStyle="1" w:styleId="MenuOption">
    <w:name w:val="Menu Option"/>
    <w:basedOn w:val="DefaultParagraphFont"/>
    <w:rsid w:val="00232B07"/>
    <w:rPr>
      <w:b/>
      <w:smallCaps/>
    </w:rPr>
  </w:style>
  <w:style w:type="paragraph" w:customStyle="1" w:styleId="TableListNumber">
    <w:name w:val="Table List Number"/>
    <w:basedOn w:val="ListNumber"/>
    <w:rsid w:val="00232B07"/>
    <w:pPr>
      <w:numPr>
        <w:numId w:val="0"/>
      </w:numPr>
    </w:pPr>
  </w:style>
  <w:style w:type="paragraph" w:styleId="TOC4">
    <w:name w:val="toc 4"/>
    <w:basedOn w:val="TOCBase"/>
    <w:next w:val="Normal"/>
    <w:semiHidden/>
    <w:rsid w:val="00232B07"/>
    <w:pPr>
      <w:tabs>
        <w:tab w:val="right" w:leader="dot" w:pos="9071"/>
      </w:tabs>
      <w:ind w:left="1701"/>
    </w:pPr>
  </w:style>
  <w:style w:type="paragraph" w:customStyle="1" w:styleId="ListAlpha">
    <w:name w:val="List Alpha"/>
    <w:basedOn w:val="List"/>
    <w:rsid w:val="00232B07"/>
    <w:pPr>
      <w:numPr>
        <w:numId w:val="9"/>
      </w:numPr>
    </w:pPr>
  </w:style>
  <w:style w:type="paragraph" w:customStyle="1" w:styleId="ListAlpha2">
    <w:name w:val="List Alpha 2"/>
    <w:basedOn w:val="List2"/>
    <w:rsid w:val="00232B07"/>
    <w:pPr>
      <w:numPr>
        <w:numId w:val="8"/>
      </w:numPr>
    </w:pPr>
  </w:style>
  <w:style w:type="paragraph" w:styleId="List2">
    <w:name w:val="List 2"/>
    <w:basedOn w:val="BodyText"/>
    <w:rsid w:val="00232B07"/>
    <w:pPr>
      <w:tabs>
        <w:tab w:val="left" w:pos="680"/>
      </w:tabs>
      <w:spacing w:before="60" w:after="60"/>
      <w:ind w:left="680" w:hanging="340"/>
    </w:pPr>
  </w:style>
  <w:style w:type="paragraph" w:styleId="List3">
    <w:name w:val="List 3"/>
    <w:basedOn w:val="BodyText"/>
    <w:rsid w:val="00232B07"/>
    <w:pPr>
      <w:tabs>
        <w:tab w:val="left" w:pos="1021"/>
      </w:tabs>
      <w:spacing w:before="60" w:after="60"/>
      <w:ind w:left="1020" w:hanging="340"/>
    </w:pPr>
  </w:style>
  <w:style w:type="paragraph" w:styleId="List4">
    <w:name w:val="List 4"/>
    <w:basedOn w:val="BodyText"/>
    <w:rsid w:val="00232B07"/>
    <w:pPr>
      <w:tabs>
        <w:tab w:val="left" w:pos="1361"/>
      </w:tabs>
      <w:spacing w:before="60" w:after="60"/>
      <w:ind w:left="1361" w:hanging="340"/>
    </w:pPr>
  </w:style>
  <w:style w:type="paragraph" w:styleId="List5">
    <w:name w:val="List 5"/>
    <w:basedOn w:val="BodyText"/>
    <w:rsid w:val="00232B07"/>
    <w:pPr>
      <w:tabs>
        <w:tab w:val="left" w:pos="1701"/>
      </w:tabs>
      <w:spacing w:before="60" w:after="60"/>
      <w:ind w:left="1701" w:hanging="340"/>
    </w:pPr>
  </w:style>
  <w:style w:type="paragraph" w:styleId="ListBullet3">
    <w:name w:val="List Bullet 3"/>
    <w:basedOn w:val="List3"/>
    <w:rsid w:val="00232B07"/>
    <w:pPr>
      <w:numPr>
        <w:numId w:val="14"/>
      </w:numPr>
      <w:tabs>
        <w:tab w:val="clear" w:pos="1021"/>
      </w:tabs>
      <w:ind w:left="1037" w:hanging="357"/>
    </w:pPr>
  </w:style>
  <w:style w:type="paragraph" w:styleId="ListBullet4">
    <w:name w:val="List Bullet 4"/>
    <w:basedOn w:val="List4"/>
    <w:rsid w:val="00232B07"/>
    <w:pPr>
      <w:numPr>
        <w:numId w:val="3"/>
      </w:numPr>
      <w:tabs>
        <w:tab w:val="clear" w:pos="1361"/>
      </w:tabs>
    </w:pPr>
  </w:style>
  <w:style w:type="paragraph" w:styleId="ListBullet5">
    <w:name w:val="List Bullet 5"/>
    <w:basedOn w:val="List5"/>
    <w:rsid w:val="00232B07"/>
    <w:pPr>
      <w:numPr>
        <w:numId w:val="4"/>
      </w:numPr>
    </w:pPr>
  </w:style>
  <w:style w:type="paragraph" w:styleId="ListContinue2">
    <w:name w:val="List Continue 2"/>
    <w:basedOn w:val="List2"/>
    <w:rsid w:val="00232B07"/>
    <w:pPr>
      <w:ind w:firstLine="0"/>
    </w:pPr>
  </w:style>
  <w:style w:type="paragraph" w:styleId="ListContinue3">
    <w:name w:val="List Continue 3"/>
    <w:basedOn w:val="List3"/>
    <w:rsid w:val="00232B07"/>
    <w:pPr>
      <w:ind w:left="1021" w:firstLine="0"/>
    </w:pPr>
  </w:style>
  <w:style w:type="paragraph" w:styleId="ListContinue4">
    <w:name w:val="List Continue 4"/>
    <w:basedOn w:val="List4"/>
    <w:rsid w:val="00232B07"/>
    <w:pPr>
      <w:ind w:firstLine="0"/>
    </w:pPr>
  </w:style>
  <w:style w:type="paragraph" w:styleId="ListContinue5">
    <w:name w:val="List Continue 5"/>
    <w:basedOn w:val="List5"/>
    <w:rsid w:val="00232B07"/>
    <w:pPr>
      <w:ind w:firstLine="0"/>
    </w:pPr>
  </w:style>
  <w:style w:type="paragraph" w:styleId="ListNumber3">
    <w:name w:val="List Number 3"/>
    <w:basedOn w:val="List3"/>
    <w:rsid w:val="00232B07"/>
    <w:pPr>
      <w:numPr>
        <w:numId w:val="5"/>
      </w:numPr>
    </w:pPr>
  </w:style>
  <w:style w:type="paragraph" w:styleId="ListNumber4">
    <w:name w:val="List Number 4"/>
    <w:basedOn w:val="List4"/>
    <w:rsid w:val="00232B07"/>
    <w:pPr>
      <w:numPr>
        <w:numId w:val="6"/>
      </w:numPr>
    </w:pPr>
  </w:style>
  <w:style w:type="paragraph" w:styleId="ListNumber5">
    <w:name w:val="List Number 5"/>
    <w:basedOn w:val="List5"/>
    <w:rsid w:val="00232B07"/>
    <w:pPr>
      <w:numPr>
        <w:numId w:val="7"/>
      </w:numPr>
    </w:pPr>
  </w:style>
  <w:style w:type="paragraph" w:styleId="BlockText">
    <w:name w:val="Block Text"/>
    <w:basedOn w:val="Normal"/>
    <w:rsid w:val="00232B07"/>
    <w:pPr>
      <w:spacing w:after="120"/>
      <w:ind w:left="1440" w:right="1440"/>
    </w:pPr>
  </w:style>
  <w:style w:type="character" w:customStyle="1" w:styleId="Subscript">
    <w:name w:val="Subscript"/>
    <w:basedOn w:val="DefaultParagraphFont"/>
    <w:rsid w:val="00232B07"/>
    <w:rPr>
      <w:sz w:val="16"/>
      <w:vertAlign w:val="subscript"/>
    </w:rPr>
  </w:style>
  <w:style w:type="character" w:customStyle="1" w:styleId="Superscript">
    <w:name w:val="Superscript"/>
    <w:basedOn w:val="DefaultParagraphFont"/>
    <w:rsid w:val="00232B07"/>
    <w:rPr>
      <w:sz w:val="16"/>
      <w:vertAlign w:val="superscript"/>
    </w:rPr>
  </w:style>
  <w:style w:type="character" w:customStyle="1" w:styleId="Symbols">
    <w:name w:val="Symbols"/>
    <w:basedOn w:val="DefaultParagraphFont"/>
    <w:rsid w:val="00232B07"/>
    <w:rPr>
      <w:rFonts w:ascii="Symbol" w:hAnsi="Symbol"/>
    </w:rPr>
  </w:style>
  <w:style w:type="character" w:customStyle="1" w:styleId="MenuOptions">
    <w:name w:val="Menu Options"/>
    <w:basedOn w:val="DefaultParagraphFont"/>
    <w:rsid w:val="00232B07"/>
    <w:rPr>
      <w:rFonts w:ascii="Arial Narrow" w:hAnsi="Arial Narrow"/>
      <w:smallCaps/>
    </w:rPr>
  </w:style>
  <w:style w:type="character" w:customStyle="1" w:styleId="Buttons">
    <w:name w:val="Buttons"/>
    <w:basedOn w:val="DefaultParagraphFont"/>
    <w:rsid w:val="00232B07"/>
    <w:rPr>
      <w:b/>
    </w:rPr>
  </w:style>
  <w:style w:type="character" w:customStyle="1" w:styleId="Underlined">
    <w:name w:val="Underlined"/>
    <w:basedOn w:val="DefaultParagraphFont"/>
    <w:rsid w:val="00232B07"/>
    <w:rPr>
      <w:u w:val="single"/>
    </w:rPr>
  </w:style>
  <w:style w:type="paragraph" w:customStyle="1" w:styleId="TableBodyTextRight">
    <w:name w:val="Table Body Text Right"/>
    <w:basedOn w:val="TableBodyText"/>
    <w:rsid w:val="00232B07"/>
    <w:pPr>
      <w:widowControl w:val="0"/>
      <w:autoSpaceDE w:val="0"/>
      <w:autoSpaceDN w:val="0"/>
      <w:adjustRightInd w:val="0"/>
      <w:jc w:val="right"/>
    </w:pPr>
    <w:rPr>
      <w:rFonts w:cs="Arial"/>
      <w:szCs w:val="18"/>
    </w:rPr>
  </w:style>
  <w:style w:type="paragraph" w:customStyle="1" w:styleId="CopyrightText">
    <w:name w:val="Copyright Text"/>
    <w:basedOn w:val="BodyText"/>
    <w:rsid w:val="00232B07"/>
    <w:rPr>
      <w:sz w:val="18"/>
    </w:rPr>
  </w:style>
  <w:style w:type="paragraph" w:customStyle="1" w:styleId="BodySmallRight">
    <w:name w:val="Body Small Right"/>
    <w:basedOn w:val="BodyTextRight"/>
    <w:rsid w:val="00232B07"/>
    <w:rPr>
      <w:sz w:val="18"/>
      <w:szCs w:val="18"/>
    </w:rPr>
  </w:style>
  <w:style w:type="paragraph" w:customStyle="1" w:styleId="MarginEdition">
    <w:name w:val="Margin Edition"/>
    <w:basedOn w:val="MarginNote"/>
    <w:rsid w:val="00232B07"/>
    <w:pPr>
      <w:spacing w:before="0" w:after="0"/>
    </w:pPr>
    <w:rPr>
      <w:rFonts w:ascii="Times New Roman" w:hAnsi="Times New Roman"/>
      <w:color w:val="999999"/>
    </w:rPr>
  </w:style>
  <w:style w:type="paragraph" w:customStyle="1" w:styleId="Spacer">
    <w:name w:val="Spacer"/>
    <w:basedOn w:val="Normal"/>
    <w:rsid w:val="00232B07"/>
    <w:rPr>
      <w:sz w:val="2"/>
      <w:szCs w:val="2"/>
    </w:rPr>
  </w:style>
  <w:style w:type="character" w:customStyle="1" w:styleId="Small">
    <w:name w:val="Small"/>
    <w:basedOn w:val="DefaultParagraphFont"/>
    <w:rsid w:val="00232B07"/>
    <w:rPr>
      <w:sz w:val="16"/>
    </w:rPr>
  </w:style>
  <w:style w:type="paragraph" w:customStyle="1" w:styleId="WideTable">
    <w:name w:val="Wide Table"/>
    <w:basedOn w:val="Normal"/>
    <w:rsid w:val="00232B07"/>
    <w:pPr>
      <w:ind w:left="-1418"/>
    </w:pPr>
    <w:rPr>
      <w:sz w:val="2"/>
      <w:szCs w:val="2"/>
    </w:rPr>
  </w:style>
  <w:style w:type="character" w:styleId="PageNumber">
    <w:name w:val="page number"/>
    <w:basedOn w:val="DefaultParagraphFont"/>
    <w:rsid w:val="00232B07"/>
  </w:style>
  <w:style w:type="paragraph" w:styleId="Quote">
    <w:name w:val="Quote"/>
    <w:basedOn w:val="Heading1"/>
    <w:link w:val="QuoteChar"/>
    <w:qFormat/>
    <w:rsid w:val="00232B07"/>
    <w:rPr>
      <w:b w:val="0"/>
      <w:sz w:val="72"/>
      <w:szCs w:val="72"/>
      <w:lang w:val="en-NZ"/>
    </w:rPr>
  </w:style>
  <w:style w:type="character" w:customStyle="1" w:styleId="QuoteChar">
    <w:name w:val="Quote Char"/>
    <w:basedOn w:val="DefaultParagraphFont"/>
    <w:link w:val="Quote"/>
    <w:rsid w:val="00232B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2B07"/>
    <w:pPr>
      <w:pageBreakBefore/>
    </w:pPr>
  </w:style>
  <w:style w:type="paragraph" w:customStyle="1" w:styleId="Border">
    <w:name w:val="Border"/>
    <w:basedOn w:val="Normal"/>
    <w:qFormat/>
    <w:rsid w:val="00232B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2B07"/>
    <w:rPr>
      <w:b/>
      <w:bCs/>
      <w:i/>
      <w:iCs/>
      <w:color w:val="auto"/>
    </w:rPr>
  </w:style>
  <w:style w:type="paragraph" w:styleId="IntenseQuote">
    <w:name w:val="Intense Quote"/>
    <w:basedOn w:val="Normal"/>
    <w:next w:val="Normal"/>
    <w:link w:val="IntenseQuoteChar"/>
    <w:uiPriority w:val="30"/>
    <w:qFormat/>
    <w:rsid w:val="00232B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2B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2B07"/>
    <w:rPr>
      <w:smallCaps/>
      <w:color w:val="auto"/>
      <w:u w:val="single"/>
    </w:rPr>
  </w:style>
  <w:style w:type="character" w:styleId="IntenseReference">
    <w:name w:val="Intense Reference"/>
    <w:basedOn w:val="DefaultParagraphFont"/>
    <w:uiPriority w:val="32"/>
    <w:qFormat/>
    <w:rsid w:val="00232B07"/>
    <w:rPr>
      <w:b/>
      <w:bCs/>
      <w:smallCaps/>
      <w:color w:val="auto"/>
      <w:spacing w:val="5"/>
      <w:u w:val="single"/>
    </w:rPr>
  </w:style>
  <w:style w:type="paragraph" w:customStyle="1" w:styleId="2ColumnHeading">
    <w:name w:val="2Column Heading"/>
    <w:basedOn w:val="BodyText"/>
    <w:qFormat/>
    <w:rsid w:val="00232B07"/>
    <w:pPr>
      <w:spacing w:after="60"/>
      <w:ind w:left="-2268"/>
    </w:pPr>
    <w:rPr>
      <w:b/>
    </w:rPr>
  </w:style>
  <w:style w:type="paragraph" w:customStyle="1" w:styleId="Heading1TOC">
    <w:name w:val="Heading1 TOC"/>
    <w:basedOn w:val="Normal"/>
    <w:qFormat/>
    <w:rsid w:val="00232B07"/>
    <w:pPr>
      <w:spacing w:before="240" w:after="120"/>
    </w:pPr>
    <w:rPr>
      <w:rFonts w:ascii="Times New Roman" w:hAnsi="Times New Roman"/>
      <w:b/>
      <w:sz w:val="32"/>
    </w:rPr>
  </w:style>
  <w:style w:type="paragraph" w:customStyle="1" w:styleId="Heading2TOC">
    <w:name w:val="Heading2 TOC"/>
    <w:basedOn w:val="Normal"/>
    <w:qFormat/>
    <w:rsid w:val="00232B07"/>
    <w:pPr>
      <w:spacing w:before="240" w:after="60"/>
    </w:pPr>
    <w:rPr>
      <w:rFonts w:ascii="Times New Roman" w:hAnsi="Times New Roman"/>
      <w:b/>
      <w:sz w:val="28"/>
    </w:rPr>
  </w:style>
  <w:style w:type="character" w:customStyle="1" w:styleId="Underline">
    <w:name w:val="Underline"/>
    <w:basedOn w:val="DefaultParagraphFont"/>
    <w:qFormat/>
    <w:rsid w:val="00232B07"/>
    <w:rPr>
      <w:u w:val="single"/>
    </w:rPr>
  </w:style>
  <w:style w:type="character" w:customStyle="1" w:styleId="BoldandItalics">
    <w:name w:val="Bold and Italics"/>
    <w:qFormat/>
    <w:rsid w:val="00232B07"/>
    <w:rPr>
      <w:b/>
      <w:i/>
      <w:u w:val="none"/>
    </w:rPr>
  </w:style>
  <w:style w:type="paragraph" w:styleId="BalloonText">
    <w:name w:val="Balloon Text"/>
    <w:basedOn w:val="Normal"/>
    <w:link w:val="BalloonTextChar"/>
    <w:rsid w:val="00232B07"/>
    <w:rPr>
      <w:rFonts w:ascii="Tahoma" w:hAnsi="Tahoma" w:cs="Tahoma"/>
      <w:sz w:val="16"/>
      <w:szCs w:val="16"/>
    </w:rPr>
  </w:style>
  <w:style w:type="character" w:customStyle="1" w:styleId="BalloonTextChar">
    <w:name w:val="Balloon Text Char"/>
    <w:basedOn w:val="DefaultParagraphFont"/>
    <w:link w:val="BalloonText"/>
    <w:rsid w:val="00232B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2B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2B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2B07"/>
    <w:rPr>
      <w:b/>
      <w:color w:val="660033"/>
      <w:spacing w:val="0"/>
    </w:rPr>
  </w:style>
  <w:style w:type="paragraph" w:customStyle="1" w:styleId="Nameditemlist">
    <w:name w:val="Named item list"/>
    <w:basedOn w:val="BodyText"/>
    <w:qFormat/>
    <w:rsid w:val="00232B07"/>
    <w:pPr>
      <w:tabs>
        <w:tab w:val="left" w:pos="2835"/>
      </w:tabs>
      <w:ind w:left="2835" w:hanging="2835"/>
    </w:pPr>
  </w:style>
  <w:style w:type="paragraph" w:customStyle="1" w:styleId="BodyTextnopadding">
    <w:name w:val="Body Text no padding"/>
    <w:basedOn w:val="BodyText"/>
    <w:qFormat/>
    <w:rsid w:val="00232B07"/>
    <w:pPr>
      <w:spacing w:before="0" w:after="0"/>
    </w:pPr>
  </w:style>
  <w:style w:type="paragraph" w:customStyle="1" w:styleId="BodyTextBold">
    <w:name w:val="Body Text Bold"/>
    <w:basedOn w:val="BodyText"/>
    <w:qFormat/>
    <w:rsid w:val="00232B07"/>
    <w:rPr>
      <w:b/>
    </w:rPr>
  </w:style>
  <w:style w:type="character" w:styleId="Hyperlink">
    <w:name w:val="Hyperlink"/>
    <w:basedOn w:val="DefaultParagraphFont"/>
    <w:uiPriority w:val="99"/>
    <w:unhideWhenUsed/>
    <w:rsid w:val="00C113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6802</Characters>
  <Application>Microsoft Office Word</Application>
  <DocSecurity>0</DocSecurity>
  <Lines>242</Lines>
  <Paragraphs>132</Paragraphs>
  <ScaleCrop>false</ScaleCrop>
  <Company>Author-it Software Corporation Ltd.</Company>
  <LinksUpToDate>false</LinksUpToDate>
  <CharactersWithSpaces>7685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CPPFES3032 Conduct enclosure integrity testing</dc:title>
  <dc:subject>Approved</dc:subject>
  <dc:creator>BuildSkills Australia</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