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DAD" w:rsidP="00796D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CPPFES3032 Conduct enclosure integrity testing</w:t>
      </w:r>
      <w:r>
        <w:fldChar w:fldCharType="end"/>
      </w:r>
    </w:p>
    <w:p w:rsidR="00796DAD" w:rsidP="00796DAD">
      <w:pPr>
        <w:pStyle w:val="Version"/>
        <w:sectPr w:rsidSect="00E016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164A" w:rsidP="00E0164A">
      <w:pPr>
        <w:pStyle w:val="SuperHeading"/>
      </w:pPr>
      <w:r w:rsidRPr="00E0164A">
        <w:t>Assessment Requirements for CPPFES3032 Conduct enclosure integrity testing</w:t>
      </w:r>
    </w:p>
    <w:p w:rsidR="00000000" w:rsidRPr="00E0164A" w:rsidP="00E0164A">
      <w:pPr>
        <w:pStyle w:val="Heading1"/>
      </w:pPr>
      <w:bookmarkStart w:id="1" w:name="O_1163689"/>
      <w:bookmarkEnd w:id="1"/>
      <w:r w:rsidRPr="00E016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97"/>
      </w:tblGrid>
      <w:tr w:rsidTr="00E0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64A">
            <w:pPr>
              <w:pStyle w:val="BodyText"/>
              <w:rPr>
                <w:lang w:val="en-NZ"/>
              </w:rPr>
            </w:pPr>
            <w:r w:rsidRPr="00E0164A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64A" w:rsidP="00E0164A">
            <w:pPr>
              <w:pStyle w:val="BodyText"/>
            </w:pPr>
            <w:r w:rsidRPr="00E0164A">
              <w:t>This version first released with CPP Property Services Training Package Release 13.0.</w:t>
            </w:r>
          </w:p>
          <w:p w:rsidR="00000000" w:rsidRPr="00E0164A" w:rsidP="00E0164A">
            <w:pPr>
              <w:pStyle w:val="BodyText"/>
            </w:pPr>
            <w:r w:rsidRPr="00E0164A">
              <w:t>Supersedes and is equivalent to CPPFES3032A Conduct enclosure integrity testing.  Unit updated to meet the Standards for Training Packages 2012.</w:t>
            </w:r>
          </w:p>
        </w:tc>
      </w:tr>
    </w:tbl>
    <w:p w:rsidR="00000000" w:rsidRPr="00E0164A" w:rsidP="00E0164A">
      <w:pPr>
        <w:pStyle w:val="BodyText"/>
      </w:pPr>
    </w:p>
    <w:p w:rsidR="00000000" w:rsidRPr="00E0164A" w:rsidP="00E0164A">
      <w:pPr>
        <w:pStyle w:val="AllowPageBreak"/>
      </w:pPr>
    </w:p>
    <w:p w:rsidR="00000000" w:rsidRPr="00E0164A" w:rsidP="00E0164A">
      <w:pPr>
        <w:pStyle w:val="Heading1"/>
      </w:pPr>
      <w:bookmarkStart w:id="2" w:name="O_1163692"/>
      <w:bookmarkEnd w:id="2"/>
      <w:r w:rsidRPr="00E0164A">
        <w:t>Performance Evidence</w:t>
      </w:r>
    </w:p>
    <w:p w:rsidR="00000000" w:rsidRPr="00E0164A" w:rsidP="00796DAD">
      <w:pPr>
        <w:pStyle w:val="BodyText"/>
      </w:pPr>
      <w:r w:rsidRPr="00E0164A">
        <w:t>To demonstrate competency, a candidate must meet the elements and per</w:t>
      </w:r>
      <w:r w:rsidRPr="00E0164A">
        <w:t>formance criteria of this unit by conducting enclosure integrity testing on each of the following types of enclosures where total flooding gaseous agent protection is installed and a doorway is fitted:</w:t>
      </w:r>
    </w:p>
    <w:p w:rsidR="00000000" w:rsidRPr="00E0164A" w:rsidP="00E0164A">
      <w:pPr>
        <w:pStyle w:val="ListBullet"/>
      </w:pPr>
      <w:r w:rsidRPr="00E0164A">
        <w:t>computer room</w:t>
      </w:r>
    </w:p>
    <w:p w:rsidR="00000000" w:rsidRPr="00E0164A" w:rsidP="00E0164A">
      <w:pPr>
        <w:pStyle w:val="ListBullet"/>
      </w:pPr>
      <w:r w:rsidRPr="00E0164A">
        <w:t>electrical switch room</w:t>
      </w:r>
    </w:p>
    <w:p w:rsidR="00000000" w:rsidRPr="00E0164A" w:rsidP="00E0164A">
      <w:pPr>
        <w:pStyle w:val="ListBullet"/>
      </w:pPr>
      <w:r w:rsidRPr="00E0164A">
        <w:t xml:space="preserve">machinery space </w:t>
      </w:r>
      <w:r w:rsidRPr="00E0164A">
        <w:t>in a vessel.</w:t>
      </w:r>
    </w:p>
    <w:p w:rsidR="00000000" w:rsidRPr="00E0164A" w:rsidP="00E0164A">
      <w:pPr>
        <w:pStyle w:val="AllowPageBreak"/>
      </w:pPr>
    </w:p>
    <w:p w:rsidR="00000000" w:rsidRPr="00E0164A" w:rsidP="00E0164A">
      <w:pPr>
        <w:pStyle w:val="Heading1"/>
      </w:pPr>
      <w:bookmarkStart w:id="3" w:name="O_1163691"/>
      <w:bookmarkEnd w:id="3"/>
      <w:r w:rsidRPr="00E0164A">
        <w:t>Knowledge Evidence</w:t>
      </w:r>
    </w:p>
    <w:p w:rsidR="00000000" w:rsidRPr="00E0164A" w:rsidP="00796DAD">
      <w:pPr>
        <w:pStyle w:val="BodyText"/>
      </w:pPr>
      <w:r w:rsidRPr="00E0164A">
        <w:t>To be competent in this unit, a candidate must demonstrate knowledge of:</w:t>
      </w:r>
    </w:p>
    <w:p w:rsidR="00000000" w:rsidRPr="00E0164A" w:rsidP="00E0164A">
      <w:pPr>
        <w:pStyle w:val="ListBullet"/>
      </w:pPr>
      <w:r w:rsidRPr="00E0164A">
        <w:t xml:space="preserve">action to take when a breach of regulation, work health and safety (WHS) or other policy occurs </w:t>
      </w:r>
      <w:r w:rsidRPr="00E0164A">
        <w:t>when conducting enclosure integrity testing of total flooding gaseous agent fire-suppression systems</w:t>
      </w:r>
    </w:p>
    <w:p w:rsidR="00000000" w:rsidRPr="00E0164A" w:rsidP="00E0164A">
      <w:pPr>
        <w:pStyle w:val="ListBullet"/>
      </w:pPr>
      <w:r w:rsidRPr="00E0164A">
        <w:t>features of gaseous agent fire-suppression systems, testing equipment and testing parameters:</w:t>
      </w:r>
    </w:p>
    <w:p w:rsidR="00000000" w:rsidRPr="00E0164A" w:rsidP="00E0164A">
      <w:pPr>
        <w:pStyle w:val="ListBullet2"/>
      </w:pPr>
      <w:r w:rsidRPr="00E0164A">
        <w:t>gaseous agent hold time</w:t>
      </w:r>
    </w:p>
    <w:p w:rsidR="00000000" w:rsidRPr="00E0164A" w:rsidP="00E0164A">
      <w:pPr>
        <w:pStyle w:val="ListBullet2"/>
      </w:pPr>
      <w:r w:rsidRPr="00E0164A">
        <w:t>general operation of a fan test unit</w:t>
      </w:r>
    </w:p>
    <w:p w:rsidR="00000000" w:rsidRPr="00E0164A" w:rsidP="00E0164A">
      <w:pPr>
        <w:pStyle w:val="ListBullet2"/>
      </w:pPr>
      <w:r w:rsidRPr="00E0164A">
        <w:t>installation of equipment</w:t>
      </w:r>
    </w:p>
    <w:p w:rsidR="00000000" w:rsidRPr="00E0164A" w:rsidP="00E0164A">
      <w:pPr>
        <w:pStyle w:val="ListBullet2"/>
      </w:pPr>
      <w:r w:rsidRPr="00E0164A">
        <w:t>operation of equipment</w:t>
      </w:r>
    </w:p>
    <w:p w:rsidR="00000000" w:rsidRPr="00E0164A" w:rsidP="00E0164A">
      <w:pPr>
        <w:pStyle w:val="ListBullet"/>
      </w:pPr>
      <w:r w:rsidRPr="00E0164A">
        <w:t>implications of not complying with regulatory requirements when conducting enclosure integrity testing</w:t>
      </w:r>
    </w:p>
    <w:p w:rsidR="00000000" w:rsidRPr="00E0164A" w:rsidP="00E0164A">
      <w:pPr>
        <w:pStyle w:val="ListBullet"/>
      </w:pPr>
      <w:r w:rsidRPr="00E0164A">
        <w:t>key features of legislation, regulations, codes and Australian Standards relevant to enclosure integri</w:t>
      </w:r>
      <w:r w:rsidRPr="00E0164A">
        <w:t>ty testing of total flooding gaseous agent fire-suppression systems:</w:t>
      </w:r>
    </w:p>
    <w:p w:rsidR="00000000" w:rsidRPr="00E0164A" w:rsidP="00E0164A">
      <w:pPr>
        <w:pStyle w:val="ListBullet2"/>
      </w:pPr>
      <w:r w:rsidRPr="00E0164A">
        <w:t>extinguishing agent handling licence (EAHL) requirements</w:t>
      </w:r>
    </w:p>
    <w:p w:rsidR="00000000" w:rsidRPr="00E0164A" w:rsidP="00E0164A">
      <w:pPr>
        <w:pStyle w:val="ListBullet2"/>
      </w:pPr>
      <w:r w:rsidRPr="00E0164A">
        <w:t>maintenance schedules</w:t>
      </w:r>
    </w:p>
    <w:p w:rsidR="00000000" w:rsidRPr="00E0164A" w:rsidP="00E0164A">
      <w:pPr>
        <w:pStyle w:val="ListBullet2"/>
      </w:pPr>
      <w:r w:rsidRPr="00E0164A">
        <w:t xml:space="preserve">pass or fail requirements for gaseous fire extinguishing systems against </w:t>
      </w:r>
      <w:r w:rsidRPr="00E0164A">
        <w:rPr>
          <w:rStyle w:val="Emphasis"/>
        </w:rPr>
        <w:t>AS 4214 Gaseous fire extinguishing</w:t>
      </w:r>
      <w:r w:rsidRPr="00E0164A">
        <w:rPr>
          <w:rStyle w:val="Emphasis"/>
        </w:rPr>
        <w:t xml:space="preserve"> systems</w:t>
      </w:r>
      <w:r w:rsidRPr="00E0164A">
        <w:t xml:space="preserve"> (or its successor): 10 minute/100 mm against highest protected risk</w:t>
      </w:r>
    </w:p>
    <w:p w:rsidR="00000000" w:rsidRPr="00E0164A" w:rsidP="00E0164A">
      <w:pPr>
        <w:pStyle w:val="ListBullet2"/>
      </w:pPr>
      <w:r w:rsidRPr="00E0164A">
        <w:t>records and documentation</w:t>
      </w:r>
    </w:p>
    <w:p w:rsidR="00000000" w:rsidRPr="00E0164A" w:rsidP="00E0164A">
      <w:pPr>
        <w:pStyle w:val="ListBullet"/>
      </w:pPr>
      <w:r w:rsidRPr="00E0164A">
        <w:t>meaning of common integrity testing terminology:</w:t>
      </w:r>
    </w:p>
    <w:p w:rsidR="00000000" w:rsidRPr="00E0164A" w:rsidP="00E0164A">
      <w:pPr>
        <w:pStyle w:val="ListBullet2"/>
      </w:pPr>
      <w:r w:rsidRPr="00E0164A">
        <w:t>agent loss</w:t>
      </w:r>
    </w:p>
    <w:p w:rsidR="00000000" w:rsidRPr="00E0164A" w:rsidP="00E0164A">
      <w:pPr>
        <w:pStyle w:val="ListBullet2"/>
      </w:pPr>
      <w:r w:rsidRPr="00E0164A">
        <w:t>agent recirculation</w:t>
      </w:r>
    </w:p>
    <w:p w:rsidR="00000000" w:rsidRPr="00E0164A" w:rsidP="00E0164A">
      <w:pPr>
        <w:pStyle w:val="ListBullet2"/>
      </w:pPr>
      <w:r w:rsidRPr="00E0164A">
        <w:t>descending interface (height)</w:t>
      </w:r>
    </w:p>
    <w:p w:rsidR="00000000" w:rsidRPr="00E0164A" w:rsidP="00E0164A">
      <w:pPr>
        <w:pStyle w:val="ListBullet2"/>
      </w:pPr>
      <w:r w:rsidRPr="00E0164A">
        <w:t>highest protected risk (minimum protected equipment height)</w:t>
      </w:r>
    </w:p>
    <w:p w:rsidR="00000000" w:rsidRPr="00E0164A" w:rsidP="00E0164A">
      <w:pPr>
        <w:pStyle w:val="ListBullet2"/>
      </w:pPr>
      <w:r w:rsidRPr="00E0164A">
        <w:t>retention time</w:t>
      </w:r>
    </w:p>
    <w:p w:rsidR="00000000" w:rsidRPr="00E0164A" w:rsidP="00E0164A">
      <w:pPr>
        <w:pStyle w:val="ListBullet2"/>
      </w:pPr>
      <w:r w:rsidRPr="00E0164A">
        <w:t>total leakage area</w:t>
      </w:r>
    </w:p>
    <w:p w:rsidR="00000000" w:rsidRPr="00E0164A" w:rsidP="00E0164A">
      <w:pPr>
        <w:pStyle w:val="ListBullet2"/>
      </w:pPr>
      <w:r w:rsidRPr="00E0164A">
        <w:t>upper and lower leaks</w:t>
      </w:r>
    </w:p>
    <w:p w:rsidR="00000000" w:rsidRPr="00E0164A" w:rsidP="00E0164A">
      <w:pPr>
        <w:pStyle w:val="ListBullet"/>
      </w:pPr>
      <w:r w:rsidRPr="00E0164A">
        <w:t>workplace requirements for conducting enclosure integrity testing:</w:t>
      </w:r>
    </w:p>
    <w:p w:rsidR="00000000" w:rsidRPr="00E0164A" w:rsidP="00E0164A">
      <w:pPr>
        <w:pStyle w:val="ListBullet2"/>
      </w:pPr>
      <w:r w:rsidRPr="00E0164A">
        <w:t>maintenance of tools and equipment</w:t>
      </w:r>
    </w:p>
    <w:p w:rsidR="00000000" w:rsidRPr="00E0164A" w:rsidP="00E0164A">
      <w:pPr>
        <w:pStyle w:val="ListBullet2"/>
      </w:pPr>
      <w:r w:rsidRPr="00E0164A">
        <w:t>WHS, including hazard and risk ident</w:t>
      </w:r>
      <w:r w:rsidRPr="00E0164A">
        <w:t>ification and control.</w:t>
      </w:r>
    </w:p>
    <w:p w:rsidR="00000000" w:rsidRPr="00E0164A" w:rsidP="00E0164A">
      <w:pPr>
        <w:pStyle w:val="AllowPageBreak"/>
      </w:pPr>
    </w:p>
    <w:p w:rsidR="00000000" w:rsidRPr="00E0164A" w:rsidP="00E0164A">
      <w:pPr>
        <w:pStyle w:val="Heading1"/>
      </w:pPr>
      <w:bookmarkStart w:id="4" w:name="O_1163690"/>
      <w:bookmarkEnd w:id="4"/>
      <w:r w:rsidRPr="00E0164A">
        <w:t>Assessment Conditions</w:t>
      </w:r>
    </w:p>
    <w:p w:rsidR="00000000" w:rsidRPr="00E0164A" w:rsidP="00796DAD">
      <w:pPr>
        <w:pStyle w:val="BodyText"/>
      </w:pPr>
      <w:r w:rsidRPr="00E0164A">
        <w:t xml:space="preserve">Assessors must meet the requirements for assessors contained in the Standards for Registered Training Organisations. </w:t>
      </w:r>
    </w:p>
    <w:p w:rsidR="00000000" w:rsidRPr="00E0164A" w:rsidP="00796DAD">
      <w:pPr>
        <w:pStyle w:val="BodyText"/>
      </w:pPr>
      <w:r w:rsidRPr="00E0164A">
        <w:t>Assessment must be conducted in the workplace or a simulated workplace usi</w:t>
      </w:r>
      <w:r w:rsidRPr="00E0164A">
        <w:t>ng realistic conditions, materials, activities, responsibilities, procedures, safety requirements and environmental considerations.</w:t>
      </w:r>
    </w:p>
    <w:p w:rsidR="00000000" w:rsidRPr="00E0164A" w:rsidP="00796DAD">
      <w:pPr>
        <w:pStyle w:val="BodyText"/>
      </w:pPr>
      <w:r w:rsidRPr="00E0164A">
        <w:t>Candidates must have access to documentation, tools, testing devices, equipment and enclosures with total flooding gaseous a</w:t>
      </w:r>
      <w:r w:rsidRPr="00E0164A">
        <w:t>gent protection required to achieve the performance evidence.</w:t>
      </w:r>
    </w:p>
    <w:p w:rsidR="00000000" w:rsidRPr="00E0164A" w:rsidP="00E0164A">
      <w:pPr>
        <w:pStyle w:val="Heading1"/>
      </w:pPr>
      <w:bookmarkStart w:id="5" w:name="O_1163688"/>
      <w:bookmarkEnd w:id="5"/>
      <w:r w:rsidRPr="00E0164A">
        <w:t>Links</w:t>
      </w:r>
    </w:p>
    <w:p w:rsidR="00000000" w:rsidRPr="00E0164A" w:rsidP="00796DAD">
      <w:pPr>
        <w:pStyle w:val="BodyText"/>
      </w:pPr>
      <w:r w:rsidRPr="00E0164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B774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0164A" w:rsidP="00E0164A"/>
    <w:sectPr w:rsidSect="00E016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6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64A" w:rsidRPr="00796DAD" w:rsidP="00796D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6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DAD" w:rsidP="00E01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6DAD" w:rsidP="00E01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96DAD" w:rsidP="00E016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6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D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164A" w:rsidRPr="00796DAD" w:rsidP="00796D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6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DAD" w:rsidRPr="002D2AF8" w:rsidP="00E01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CPPFES3032 Conduct enclosure integrity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96DAD" w:rsidP="00E016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345F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4A9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7070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6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16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16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16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16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16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16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16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16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16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16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164A"/>
  </w:style>
  <w:style w:type="character" w:customStyle="1" w:styleId="Heading1Char">
    <w:name w:val="Heading 1 Char"/>
    <w:basedOn w:val="DefaultParagraphFont"/>
    <w:link w:val="Heading1"/>
    <w:rsid w:val="00E016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16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16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16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16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0164A"/>
    <w:rPr>
      <w:i/>
    </w:rPr>
  </w:style>
  <w:style w:type="paragraph" w:customStyle="1" w:styleId="SuperHeading">
    <w:name w:val="SuperHeading"/>
    <w:basedOn w:val="Normal"/>
    <w:rsid w:val="00E016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16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16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16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16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1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1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1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1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16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16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16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16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16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16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16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16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16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16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16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16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16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164A"/>
    <w:rPr>
      <w:b/>
      <w:spacing w:val="0"/>
    </w:rPr>
  </w:style>
  <w:style w:type="paragraph" w:customStyle="1" w:styleId="SuperTitle">
    <w:name w:val="SuperTitle"/>
    <w:basedOn w:val="Title"/>
    <w:rsid w:val="00E016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16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16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16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16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16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16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16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16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16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16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16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16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16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16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164A"/>
  </w:style>
  <w:style w:type="paragraph" w:styleId="TableofFigures">
    <w:name w:val="table of figures"/>
    <w:basedOn w:val="Normal"/>
    <w:next w:val="Normal"/>
    <w:semiHidden/>
    <w:rsid w:val="00E016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16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164A"/>
    <w:rPr>
      <w:rFonts w:ascii="Wingdings" w:hAnsi="Wingdings"/>
    </w:rPr>
  </w:style>
  <w:style w:type="paragraph" w:customStyle="1" w:styleId="TableHeading">
    <w:name w:val="Table Heading"/>
    <w:basedOn w:val="HeadingBase"/>
    <w:rsid w:val="00E016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164A"/>
    <w:rPr>
      <w:color w:val="0033CC"/>
      <w:u w:val="none"/>
    </w:rPr>
  </w:style>
  <w:style w:type="paragraph" w:customStyle="1" w:styleId="BodyTextRight">
    <w:name w:val="Body Text Right"/>
    <w:basedOn w:val="BodyText"/>
    <w:rsid w:val="00E016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16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16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16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16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16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164A"/>
    <w:rPr>
      <w:sz w:val="32"/>
    </w:rPr>
  </w:style>
  <w:style w:type="paragraph" w:customStyle="1" w:styleId="HeadingProcedure">
    <w:name w:val="Heading Procedure"/>
    <w:basedOn w:val="HeadingBase"/>
    <w:next w:val="Normal"/>
    <w:rsid w:val="00E016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164A"/>
    <w:pPr>
      <w:spacing w:before="60" w:after="60"/>
    </w:pPr>
  </w:style>
  <w:style w:type="paragraph" w:styleId="ListContinue">
    <w:name w:val="List Continue"/>
    <w:basedOn w:val="List"/>
    <w:rsid w:val="00E0164A"/>
    <w:pPr>
      <w:ind w:firstLine="0"/>
    </w:pPr>
  </w:style>
  <w:style w:type="paragraph" w:customStyle="1" w:styleId="ListNote">
    <w:name w:val="List Note"/>
    <w:basedOn w:val="List"/>
    <w:rsid w:val="00E016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16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16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164A"/>
    <w:rPr>
      <w:rFonts w:ascii="Courier New" w:hAnsi="Courier New"/>
    </w:rPr>
  </w:style>
  <w:style w:type="paragraph" w:customStyle="1" w:styleId="NoteBullet">
    <w:name w:val="Note Bullet"/>
    <w:basedOn w:val="Note"/>
    <w:rsid w:val="00E016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16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16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16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16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16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16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164A"/>
    <w:rPr>
      <w:b/>
      <w:smallCaps/>
    </w:rPr>
  </w:style>
  <w:style w:type="paragraph" w:customStyle="1" w:styleId="TableListNumber">
    <w:name w:val="Table List Number"/>
    <w:basedOn w:val="ListNumber"/>
    <w:rsid w:val="00E016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16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164A"/>
    <w:pPr>
      <w:numPr>
        <w:numId w:val="9"/>
      </w:numPr>
    </w:pPr>
  </w:style>
  <w:style w:type="paragraph" w:customStyle="1" w:styleId="ListAlpha2">
    <w:name w:val="List Alpha 2"/>
    <w:basedOn w:val="List2"/>
    <w:rsid w:val="00E0164A"/>
    <w:pPr>
      <w:numPr>
        <w:numId w:val="8"/>
      </w:numPr>
    </w:pPr>
  </w:style>
  <w:style w:type="paragraph" w:styleId="List2">
    <w:name w:val="List 2"/>
    <w:basedOn w:val="BodyText"/>
    <w:rsid w:val="00E016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16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16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16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16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16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164A"/>
    <w:pPr>
      <w:numPr>
        <w:numId w:val="4"/>
      </w:numPr>
    </w:pPr>
  </w:style>
  <w:style w:type="paragraph" w:styleId="ListContinue2">
    <w:name w:val="List Continue 2"/>
    <w:basedOn w:val="List2"/>
    <w:rsid w:val="00E0164A"/>
    <w:pPr>
      <w:ind w:firstLine="0"/>
    </w:pPr>
  </w:style>
  <w:style w:type="paragraph" w:styleId="ListContinue3">
    <w:name w:val="List Continue 3"/>
    <w:basedOn w:val="List3"/>
    <w:rsid w:val="00E0164A"/>
    <w:pPr>
      <w:ind w:left="1021" w:firstLine="0"/>
    </w:pPr>
  </w:style>
  <w:style w:type="paragraph" w:styleId="ListContinue4">
    <w:name w:val="List Continue 4"/>
    <w:basedOn w:val="List4"/>
    <w:rsid w:val="00E0164A"/>
    <w:pPr>
      <w:ind w:firstLine="0"/>
    </w:pPr>
  </w:style>
  <w:style w:type="paragraph" w:styleId="ListContinue5">
    <w:name w:val="List Continue 5"/>
    <w:basedOn w:val="List5"/>
    <w:rsid w:val="00E0164A"/>
    <w:pPr>
      <w:ind w:firstLine="0"/>
    </w:pPr>
  </w:style>
  <w:style w:type="paragraph" w:styleId="ListNumber3">
    <w:name w:val="List Number 3"/>
    <w:basedOn w:val="List3"/>
    <w:rsid w:val="00E0164A"/>
    <w:pPr>
      <w:numPr>
        <w:numId w:val="5"/>
      </w:numPr>
    </w:pPr>
  </w:style>
  <w:style w:type="paragraph" w:styleId="ListNumber4">
    <w:name w:val="List Number 4"/>
    <w:basedOn w:val="List4"/>
    <w:rsid w:val="00E0164A"/>
    <w:pPr>
      <w:numPr>
        <w:numId w:val="6"/>
      </w:numPr>
    </w:pPr>
  </w:style>
  <w:style w:type="paragraph" w:styleId="ListNumber5">
    <w:name w:val="List Number 5"/>
    <w:basedOn w:val="List5"/>
    <w:rsid w:val="00E0164A"/>
    <w:pPr>
      <w:numPr>
        <w:numId w:val="7"/>
      </w:numPr>
    </w:pPr>
  </w:style>
  <w:style w:type="paragraph" w:styleId="BlockText">
    <w:name w:val="Block Text"/>
    <w:basedOn w:val="Normal"/>
    <w:rsid w:val="00E016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16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164A"/>
    <w:rPr>
      <w:sz w:val="16"/>
      <w:vertAlign w:val="superscript"/>
    </w:rPr>
  </w:style>
  <w:style w:type="character" w:customStyle="1" w:styleId="Symbols">
    <w:name w:val="Symbols"/>
    <w:basedOn w:val="DefaultParagraphFont"/>
    <w:rsid w:val="00E0164A"/>
    <w:rPr>
      <w:rFonts w:ascii="Symbol" w:hAnsi="Symbol"/>
    </w:rPr>
  </w:style>
  <w:style w:type="character" w:customStyle="1" w:styleId="MenuOptions">
    <w:name w:val="Menu Options"/>
    <w:basedOn w:val="DefaultParagraphFont"/>
    <w:rsid w:val="00E016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164A"/>
    <w:rPr>
      <w:b/>
    </w:rPr>
  </w:style>
  <w:style w:type="character" w:customStyle="1" w:styleId="Underlined">
    <w:name w:val="Underlined"/>
    <w:basedOn w:val="DefaultParagraphFont"/>
    <w:rsid w:val="00E0164A"/>
    <w:rPr>
      <w:u w:val="single"/>
    </w:rPr>
  </w:style>
  <w:style w:type="paragraph" w:customStyle="1" w:styleId="TableBodyTextRight">
    <w:name w:val="Table Body Text Right"/>
    <w:basedOn w:val="TableBodyText"/>
    <w:rsid w:val="00E016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164A"/>
    <w:rPr>
      <w:sz w:val="18"/>
    </w:rPr>
  </w:style>
  <w:style w:type="paragraph" w:customStyle="1" w:styleId="BodySmallRight">
    <w:name w:val="Body Small Right"/>
    <w:basedOn w:val="BodyTextRight"/>
    <w:rsid w:val="00E0164A"/>
    <w:rPr>
      <w:sz w:val="18"/>
      <w:szCs w:val="18"/>
    </w:rPr>
  </w:style>
  <w:style w:type="paragraph" w:customStyle="1" w:styleId="MarginEdition">
    <w:name w:val="Margin Edition"/>
    <w:basedOn w:val="MarginNote"/>
    <w:rsid w:val="00E016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164A"/>
    <w:rPr>
      <w:sz w:val="2"/>
      <w:szCs w:val="2"/>
    </w:rPr>
  </w:style>
  <w:style w:type="character" w:customStyle="1" w:styleId="Small">
    <w:name w:val="Small"/>
    <w:basedOn w:val="DefaultParagraphFont"/>
    <w:rsid w:val="00E0164A"/>
    <w:rPr>
      <w:sz w:val="16"/>
    </w:rPr>
  </w:style>
  <w:style w:type="paragraph" w:customStyle="1" w:styleId="WideTable">
    <w:name w:val="Wide Table"/>
    <w:basedOn w:val="Normal"/>
    <w:rsid w:val="00E016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164A"/>
  </w:style>
  <w:style w:type="paragraph" w:styleId="Quote">
    <w:name w:val="Quote"/>
    <w:basedOn w:val="Heading1"/>
    <w:link w:val="QuoteChar"/>
    <w:qFormat/>
    <w:rsid w:val="00E016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16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164A"/>
    <w:pPr>
      <w:pageBreakBefore/>
    </w:pPr>
  </w:style>
  <w:style w:type="paragraph" w:customStyle="1" w:styleId="Border">
    <w:name w:val="Border"/>
    <w:basedOn w:val="Normal"/>
    <w:qFormat/>
    <w:rsid w:val="00E016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16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6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6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16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16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16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16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16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164A"/>
    <w:rPr>
      <w:u w:val="single"/>
    </w:rPr>
  </w:style>
  <w:style w:type="character" w:customStyle="1" w:styleId="BoldandItalics">
    <w:name w:val="Bold and Italics"/>
    <w:qFormat/>
    <w:rsid w:val="00E0164A"/>
    <w:rPr>
      <w:b/>
      <w:i/>
      <w:u w:val="none"/>
    </w:rPr>
  </w:style>
  <w:style w:type="paragraph" w:styleId="BalloonText">
    <w:name w:val="Balloon Text"/>
    <w:basedOn w:val="Normal"/>
    <w:link w:val="BalloonTextChar"/>
    <w:rsid w:val="00E01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16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16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16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16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16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164A"/>
    <w:pPr>
      <w:spacing w:before="0" w:after="0"/>
    </w:pPr>
  </w:style>
  <w:style w:type="paragraph" w:customStyle="1" w:styleId="BodyTextBold">
    <w:name w:val="Body Text Bold"/>
    <w:basedOn w:val="BodyText"/>
    <w:qFormat/>
    <w:rsid w:val="00E0164A"/>
    <w:rPr>
      <w:b/>
    </w:rPr>
  </w:style>
  <w:style w:type="character" w:styleId="Hyperlink">
    <w:name w:val="Hyperlink"/>
    <w:basedOn w:val="DefaultParagraphFont"/>
    <w:uiPriority w:val="99"/>
    <w:unhideWhenUsed/>
    <w:rsid w:val="00796D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2709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CPPFES3032 Conduct enclosure integrity testing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2022-12-19T06:44:00Z</dcterms:created>
  <dcterms:modified xsi:type="dcterms:W3CDTF">2022-12-19T06:44:00Z</dcterms:modified>
</cp:coreProperties>
</file>