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50D9" w:rsidP="00DF50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CPPFES3024 Inspect and maintain portable foam-generating equipment</w:t>
      </w:r>
      <w:r>
        <w:fldChar w:fldCharType="end"/>
      </w:r>
    </w:p>
    <w:p w:rsidR="00DF50D9" w:rsidP="00DF50D9">
      <w:pPr>
        <w:pStyle w:val="Version"/>
        <w:sectPr w:rsidSect="006803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0340" w:rsidP="00680340">
      <w:pPr>
        <w:pStyle w:val="SuperHeading"/>
      </w:pPr>
      <w:r w:rsidRPr="00680340">
        <w:t>Assessment Requirements for CPPFES3024 Inspect and maintain portable foam-generating equipment</w:t>
      </w:r>
    </w:p>
    <w:p w:rsidR="00000000" w:rsidRPr="00680340" w:rsidP="00680340">
      <w:pPr>
        <w:pStyle w:val="Heading1"/>
      </w:pPr>
      <w:bookmarkStart w:id="1" w:name="O_1163672"/>
      <w:bookmarkEnd w:id="1"/>
      <w:r w:rsidRPr="006803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92"/>
      </w:tblGrid>
      <w:tr w:rsidTr="00680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340">
            <w:pPr>
              <w:pStyle w:val="BodyText"/>
              <w:rPr>
                <w:lang w:val="en-NZ"/>
              </w:rPr>
            </w:pPr>
            <w:r w:rsidRPr="00680340">
              <w:t>Release 1</w:t>
            </w:r>
          </w:p>
        </w:tc>
        <w:tc>
          <w:tcPr>
            <w:tcW w:w="7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340" w:rsidP="00680340">
            <w:pPr>
              <w:pStyle w:val="BodyText"/>
            </w:pPr>
            <w:r w:rsidRPr="00680340">
              <w:t>This version first released with CPP Property Services Training Package Release 13.0.</w:t>
            </w:r>
          </w:p>
          <w:p w:rsidR="00000000" w:rsidRPr="00680340" w:rsidP="00680340">
            <w:pPr>
              <w:pStyle w:val="BodyText"/>
            </w:pPr>
            <w:r w:rsidRPr="00680340">
              <w:t>Supersedes and is equivalent to CPPFES3024A Inspect and maintain portable foam-generating equipment.  Unit updated to meet the Standards for Training Packages 2012.</w:t>
            </w:r>
          </w:p>
        </w:tc>
      </w:tr>
    </w:tbl>
    <w:p w:rsidR="00000000" w:rsidRPr="00680340" w:rsidP="00680340">
      <w:pPr>
        <w:pStyle w:val="BodyText"/>
      </w:pPr>
    </w:p>
    <w:p w:rsidR="00000000" w:rsidRPr="00680340" w:rsidP="00680340">
      <w:pPr>
        <w:pStyle w:val="AllowPageBreak"/>
      </w:pPr>
    </w:p>
    <w:p w:rsidR="00000000" w:rsidRPr="00680340" w:rsidP="00680340">
      <w:pPr>
        <w:pStyle w:val="Heading1"/>
      </w:pPr>
      <w:bookmarkStart w:id="2" w:name="O_1163675"/>
      <w:bookmarkEnd w:id="2"/>
      <w:r w:rsidRPr="00680340">
        <w:t>Performance Evidence</w:t>
      </w:r>
    </w:p>
    <w:p w:rsidR="00000000" w:rsidRPr="00680340" w:rsidP="00DF50D9">
      <w:pPr>
        <w:pStyle w:val="BodyText"/>
      </w:pPr>
      <w:r w:rsidRPr="00680340">
        <w:t xml:space="preserve">To demonstrate competency, a candidate must meet </w:t>
      </w:r>
      <w:r w:rsidRPr="00680340">
        <w:t>the elements and performance criteria of this unit by servicing portable foam-generating equipment, including:</w:t>
      </w:r>
    </w:p>
    <w:p w:rsidR="00000000" w:rsidRPr="00680340" w:rsidP="00680340">
      <w:pPr>
        <w:pStyle w:val="ListBullet"/>
      </w:pPr>
      <w:r w:rsidRPr="00680340">
        <w:t>inspection and maintenance of:</w:t>
      </w:r>
    </w:p>
    <w:p w:rsidR="00000000" w:rsidRPr="00680340" w:rsidP="00680340">
      <w:pPr>
        <w:pStyle w:val="ListBullet2"/>
      </w:pPr>
      <w:r w:rsidRPr="00680340">
        <w:t>one hand-held foam branch pipe</w:t>
      </w:r>
    </w:p>
    <w:p w:rsidR="00000000" w:rsidRPr="00680340" w:rsidP="00680340">
      <w:pPr>
        <w:pStyle w:val="ListBullet2"/>
      </w:pPr>
      <w:r w:rsidRPr="00680340">
        <w:t>one hose reel foam unit</w:t>
      </w:r>
    </w:p>
    <w:p w:rsidR="00000000" w:rsidRPr="00680340" w:rsidP="00680340">
      <w:pPr>
        <w:pStyle w:val="ListBullet2"/>
      </w:pPr>
      <w:r w:rsidRPr="00680340">
        <w:t>one mobile unit foam generator</w:t>
      </w:r>
    </w:p>
    <w:p w:rsidR="00000000" w:rsidRPr="00680340" w:rsidP="00680340">
      <w:pPr>
        <w:pStyle w:val="ListBullet2"/>
      </w:pPr>
      <w:r w:rsidRPr="00680340">
        <w:t>one portable in-line foam inductor</w:t>
      </w:r>
    </w:p>
    <w:p w:rsidR="00000000" w:rsidRPr="00680340" w:rsidP="00680340">
      <w:pPr>
        <w:pStyle w:val="ListBullet2"/>
      </w:pPr>
      <w:r w:rsidRPr="00680340">
        <w:t>one portable monitor</w:t>
      </w:r>
    </w:p>
    <w:p w:rsidR="00000000" w:rsidRPr="00680340" w:rsidP="00680340">
      <w:pPr>
        <w:pStyle w:val="ListBullet"/>
      </w:pPr>
      <w:r w:rsidRPr="00680340">
        <w:t>installation of one hose reel foam unit.</w:t>
      </w:r>
    </w:p>
    <w:p w:rsidR="00000000" w:rsidRPr="00680340" w:rsidP="00680340">
      <w:pPr>
        <w:pStyle w:val="AllowPageBreak"/>
      </w:pPr>
    </w:p>
    <w:p w:rsidR="00000000" w:rsidRPr="00680340" w:rsidP="00680340">
      <w:pPr>
        <w:pStyle w:val="Heading1"/>
      </w:pPr>
      <w:bookmarkStart w:id="3" w:name="O_1163674"/>
      <w:bookmarkEnd w:id="3"/>
      <w:r w:rsidRPr="00680340">
        <w:t>Knowledge Evidence</w:t>
      </w:r>
    </w:p>
    <w:p w:rsidR="00000000" w:rsidRPr="00680340" w:rsidP="00DF50D9">
      <w:pPr>
        <w:pStyle w:val="BodyText"/>
      </w:pPr>
      <w:r w:rsidRPr="00680340">
        <w:t>To be competent in this unit, a candidate must demonstrate knowledge of:</w:t>
      </w:r>
    </w:p>
    <w:p w:rsidR="00000000" w:rsidRPr="00680340" w:rsidP="00680340">
      <w:pPr>
        <w:pStyle w:val="ListBullet"/>
      </w:pPr>
      <w:r w:rsidRPr="00680340">
        <w:t>action to take when a breach of regulation, wo</w:t>
      </w:r>
      <w:r w:rsidRPr="00680340">
        <w:t>rk health and safety (WHS) or other policy occurs when inspecting and maintaining portable foam-generating equipment</w:t>
      </w:r>
    </w:p>
    <w:p w:rsidR="00000000" w:rsidRPr="00680340" w:rsidP="00680340">
      <w:pPr>
        <w:pStyle w:val="ListBullet"/>
      </w:pPr>
      <w:r w:rsidRPr="00680340">
        <w:t>characteristics of effective foam</w:t>
      </w:r>
    </w:p>
    <w:p w:rsidR="00000000" w:rsidRPr="00680340" w:rsidP="00680340">
      <w:pPr>
        <w:pStyle w:val="ListBullet"/>
      </w:pPr>
      <w:r w:rsidRPr="00680340">
        <w:t>classification and purpose of each type of foam</w:t>
      </w:r>
    </w:p>
    <w:p w:rsidR="00000000" w:rsidRPr="00680340" w:rsidP="00680340">
      <w:pPr>
        <w:pStyle w:val="ListBullet"/>
      </w:pPr>
      <w:r w:rsidRPr="00680340">
        <w:t>difference between portable and fixed foam systems</w:t>
      </w:r>
    </w:p>
    <w:p w:rsidR="00000000" w:rsidRPr="00680340" w:rsidP="00680340">
      <w:pPr>
        <w:pStyle w:val="ListBullet"/>
      </w:pPr>
      <w:r w:rsidRPr="00680340">
        <w:t>foam s</w:t>
      </w:r>
      <w:r w:rsidRPr="00680340">
        <w:t>uitability for different fire types and typical uses</w:t>
      </w:r>
    </w:p>
    <w:p w:rsidR="00000000" w:rsidRPr="00680340" w:rsidP="00680340">
      <w:pPr>
        <w:pStyle w:val="ListBullet"/>
      </w:pPr>
      <w:r w:rsidRPr="00680340">
        <w:t>how foam is generated and can be used to extinguish a fire</w:t>
      </w:r>
    </w:p>
    <w:p w:rsidR="00000000" w:rsidRPr="00680340" w:rsidP="00680340">
      <w:pPr>
        <w:pStyle w:val="ListBullet"/>
      </w:pPr>
      <w:r w:rsidRPr="00680340">
        <w:t>how to determine amount of foam concentrate required to be added to a tank for correct mix, given volume of water in a tank and foam concentrate percentage</w:t>
      </w:r>
    </w:p>
    <w:p w:rsidR="00000000" w:rsidRPr="00680340" w:rsidP="00680340">
      <w:pPr>
        <w:pStyle w:val="ListBullet"/>
      </w:pPr>
      <w:r w:rsidRPr="00680340">
        <w:t>how to determine storage requirements, shelf life and storage temperature range from a given foam co</w:t>
      </w:r>
      <w:r w:rsidRPr="00680340">
        <w:t>ncentrate safety data sheet (SDS)</w:t>
      </w:r>
    </w:p>
    <w:p w:rsidR="00000000" w:rsidRPr="00680340" w:rsidP="00680340">
      <w:pPr>
        <w:pStyle w:val="ListBullet"/>
      </w:pPr>
      <w:r w:rsidRPr="00680340">
        <w:t>implications of not complying with regulatory requirements when inspecting and maintaining portable foam-generating equipment</w:t>
      </w:r>
    </w:p>
    <w:p w:rsidR="00000000" w:rsidRPr="00680340" w:rsidP="00680340">
      <w:pPr>
        <w:pStyle w:val="ListBullet"/>
      </w:pPr>
      <w:r w:rsidRPr="00680340">
        <w:t>features and function of major items of foam-generating equipment</w:t>
      </w:r>
    </w:p>
    <w:p w:rsidR="00000000" w:rsidRPr="00680340" w:rsidP="00680340">
      <w:pPr>
        <w:pStyle w:val="ListBullet"/>
      </w:pPr>
      <w:r w:rsidRPr="00680340">
        <w:t>key features of legislation, r</w:t>
      </w:r>
      <w:r w:rsidRPr="00680340">
        <w:t>egulations, codes and Australian Standards relevant to inspecting and maintaining portable foam-generating equipment:</w:t>
      </w:r>
    </w:p>
    <w:p w:rsidR="00000000" w:rsidRPr="00680340" w:rsidP="00680340">
      <w:pPr>
        <w:pStyle w:val="ListBullet2"/>
      </w:pPr>
      <w:r w:rsidRPr="00680340">
        <w:t>environmental considerations relating to foams</w:t>
      </w:r>
    </w:p>
    <w:p w:rsidR="00000000" w:rsidRPr="00680340" w:rsidP="00680340">
      <w:pPr>
        <w:pStyle w:val="ListBullet2"/>
      </w:pPr>
      <w:r w:rsidRPr="00680340">
        <w:t>National Construction Code (NCC) and deemed-to-satisfy requirements</w:t>
      </w:r>
    </w:p>
    <w:p w:rsidR="00000000" w:rsidRPr="00680340" w:rsidP="00680340">
      <w:pPr>
        <w:pStyle w:val="ListBullet2"/>
      </w:pPr>
      <w:r w:rsidRPr="00680340">
        <w:t>maintenance schedules</w:t>
      </w:r>
    </w:p>
    <w:p w:rsidR="00000000" w:rsidRPr="00680340" w:rsidP="00680340">
      <w:pPr>
        <w:pStyle w:val="ListBullet2"/>
      </w:pPr>
      <w:r w:rsidRPr="00680340">
        <w:t>records and documentation</w:t>
      </w:r>
    </w:p>
    <w:p w:rsidR="00000000" w:rsidRPr="00680340" w:rsidP="00680340">
      <w:pPr>
        <w:pStyle w:val="ListBullet"/>
      </w:pPr>
      <w:r w:rsidRPr="00680340">
        <w:t>meaning of foam percentages</w:t>
      </w:r>
    </w:p>
    <w:p w:rsidR="00000000" w:rsidRPr="00680340" w:rsidP="00680340">
      <w:pPr>
        <w:pStyle w:val="ListBullet"/>
      </w:pPr>
      <w:r w:rsidRPr="00680340">
        <w:t>principles of operation of:</w:t>
      </w:r>
    </w:p>
    <w:p w:rsidR="00000000" w:rsidRPr="00680340" w:rsidP="00680340">
      <w:pPr>
        <w:pStyle w:val="ListBullet2"/>
      </w:pPr>
      <w:r w:rsidRPr="00680340">
        <w:t>portable foam-generating equipment</w:t>
      </w:r>
    </w:p>
    <w:p w:rsidR="00000000" w:rsidRPr="00680340" w:rsidP="00680340">
      <w:pPr>
        <w:pStyle w:val="ListBullet2"/>
      </w:pPr>
      <w:r w:rsidRPr="00680340">
        <w:t>portable foam proportioning equipment and in-line proportioning equipment:</w:t>
      </w:r>
    </w:p>
    <w:p w:rsidR="00000000" w:rsidRPr="00680340" w:rsidP="00680340">
      <w:pPr>
        <w:pStyle w:val="ListBullet3"/>
      </w:pPr>
      <w:r w:rsidRPr="00680340">
        <w:t>in-line inductors</w:t>
      </w:r>
    </w:p>
    <w:p w:rsidR="00000000" w:rsidRPr="00680340" w:rsidP="00680340">
      <w:pPr>
        <w:pStyle w:val="ListBullet3"/>
      </w:pPr>
      <w:r w:rsidRPr="00680340">
        <w:t>inflatable bladder proportioning</w:t>
      </w:r>
    </w:p>
    <w:p w:rsidR="00000000" w:rsidRPr="00680340" w:rsidP="00680340">
      <w:pPr>
        <w:pStyle w:val="ListBullet3"/>
      </w:pPr>
      <w:r w:rsidRPr="00680340">
        <w:t>positive displacement pump proportioning</w:t>
      </w:r>
    </w:p>
    <w:p w:rsidR="00000000" w:rsidRPr="00680340" w:rsidP="00680340">
      <w:pPr>
        <w:pStyle w:val="ListBullet3"/>
      </w:pPr>
      <w:r w:rsidRPr="00680340">
        <w:t>around-the-pump proportioning</w:t>
      </w:r>
    </w:p>
    <w:p w:rsidR="00000000" w:rsidRPr="00680340" w:rsidP="00680340">
      <w:pPr>
        <w:pStyle w:val="ListBullet"/>
      </w:pPr>
      <w:r w:rsidRPr="00680340">
        <w:t>purpose of inductors</w:t>
      </w:r>
    </w:p>
    <w:p w:rsidR="00000000" w:rsidRPr="00680340" w:rsidP="00680340">
      <w:pPr>
        <w:pStyle w:val="ListBullet"/>
      </w:pPr>
      <w:r w:rsidRPr="00680340">
        <w:t>reason and methodology for collecting foam concentrate samples from a concentrate storage container</w:t>
      </w:r>
    </w:p>
    <w:p w:rsidR="00000000" w:rsidRPr="00680340" w:rsidP="00680340">
      <w:pPr>
        <w:pStyle w:val="ListBullet"/>
      </w:pPr>
      <w:r w:rsidRPr="00680340">
        <w:t xml:space="preserve">types and purpose of tools, equipment and components used when </w:t>
      </w:r>
      <w:r w:rsidRPr="00680340">
        <w:t>inspecting and maintaining portable foam-generating equipment:</w:t>
      </w:r>
    </w:p>
    <w:p w:rsidR="00000000" w:rsidRPr="00680340" w:rsidP="00680340">
      <w:pPr>
        <w:pStyle w:val="ListBullet2"/>
      </w:pPr>
      <w:r w:rsidRPr="00680340">
        <w:t>hand and power tools</w:t>
      </w:r>
    </w:p>
    <w:p w:rsidR="00000000" w:rsidRPr="00680340" w:rsidP="00680340">
      <w:pPr>
        <w:pStyle w:val="ListBullet2"/>
      </w:pPr>
      <w:r w:rsidRPr="00680340">
        <w:t>personal protective equipment (PPE)</w:t>
      </w:r>
    </w:p>
    <w:p w:rsidR="00000000" w:rsidRPr="00680340" w:rsidP="00680340">
      <w:pPr>
        <w:pStyle w:val="ListBullet2"/>
      </w:pPr>
      <w:r w:rsidRPr="00680340">
        <w:t>spectrometer</w:t>
      </w:r>
    </w:p>
    <w:p w:rsidR="00000000" w:rsidRPr="00680340" w:rsidP="00680340">
      <w:pPr>
        <w:pStyle w:val="ListBullet"/>
      </w:pPr>
      <w:r w:rsidRPr="00680340">
        <w:t>workplace requirements for inspecting and maintaining portable foam-generating equipment:</w:t>
      </w:r>
    </w:p>
    <w:p w:rsidR="00000000" w:rsidRPr="00680340" w:rsidP="00680340">
      <w:pPr>
        <w:pStyle w:val="ListBullet2"/>
      </w:pPr>
      <w:r w:rsidRPr="00680340">
        <w:t>maintenance of tools and equipment</w:t>
      </w:r>
    </w:p>
    <w:p w:rsidR="00000000" w:rsidRPr="00680340" w:rsidP="00680340">
      <w:pPr>
        <w:pStyle w:val="ListBullet2"/>
      </w:pPr>
      <w:r w:rsidRPr="00680340">
        <w:t>WHS, including hazard and risk identification and control.</w:t>
      </w:r>
    </w:p>
    <w:p w:rsidR="00000000" w:rsidRPr="00680340" w:rsidP="00680340">
      <w:pPr>
        <w:pStyle w:val="AllowPageBreak"/>
      </w:pPr>
    </w:p>
    <w:p w:rsidR="00000000" w:rsidRPr="00680340" w:rsidP="00680340">
      <w:pPr>
        <w:pStyle w:val="Heading1"/>
      </w:pPr>
      <w:bookmarkStart w:id="4" w:name="O_1163673"/>
      <w:bookmarkEnd w:id="4"/>
      <w:r w:rsidRPr="00680340">
        <w:t>Assessment Conditions</w:t>
      </w:r>
    </w:p>
    <w:p w:rsidR="00000000" w:rsidRPr="00680340" w:rsidP="00DF50D9">
      <w:pPr>
        <w:pStyle w:val="BodyText"/>
      </w:pPr>
      <w:r w:rsidRPr="00680340">
        <w:t xml:space="preserve">Assessors must meet the requirements for assessors contained in the Standards for Registered Training Organisations. </w:t>
      </w:r>
    </w:p>
    <w:p w:rsidR="00000000" w:rsidRPr="00680340" w:rsidP="00DF50D9">
      <w:pPr>
        <w:pStyle w:val="BodyText"/>
      </w:pPr>
      <w:r w:rsidRPr="00680340">
        <w:t>Ass</w:t>
      </w:r>
      <w:r w:rsidRPr="00680340">
        <w:t>essment must be conducted in the workplace or a simulated workplace using realistic conditions, materials, activities, responsibilities, procedures, safety requirements and environmental considerations.</w:t>
      </w:r>
    </w:p>
    <w:p w:rsidR="00000000" w:rsidRPr="00680340" w:rsidP="00DF50D9">
      <w:pPr>
        <w:pStyle w:val="BodyText"/>
      </w:pPr>
      <w:r w:rsidRPr="00680340">
        <w:t xml:space="preserve">Candidates must have access to documentation, tools, </w:t>
      </w:r>
      <w:r w:rsidRPr="00680340">
        <w:t>equipment and foam-generating equipment required to achieve the performance evidence.</w:t>
      </w:r>
    </w:p>
    <w:p w:rsidR="00000000" w:rsidRPr="00680340" w:rsidP="00680340">
      <w:pPr>
        <w:pStyle w:val="Heading1"/>
      </w:pPr>
      <w:bookmarkStart w:id="5" w:name="O_1163671"/>
      <w:bookmarkEnd w:id="5"/>
      <w:r w:rsidRPr="00680340">
        <w:t>Links</w:t>
      </w:r>
    </w:p>
    <w:p w:rsidR="00000000" w:rsidRPr="00680340" w:rsidP="00DF50D9">
      <w:pPr>
        <w:pStyle w:val="BodyText"/>
      </w:pPr>
      <w:r w:rsidRPr="0068034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E1AA8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680340" w:rsidP="00680340"/>
    <w:sectPr w:rsidSect="006803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3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340" w:rsidRPr="00DF50D9" w:rsidP="00DF50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3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0D9" w:rsidP="006803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F50D9" w:rsidP="006803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DF50D9" w:rsidP="006803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3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0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0340" w:rsidRPr="00DF50D9" w:rsidP="00DF50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3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0D9" w:rsidRPr="002D2AF8" w:rsidP="006803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CPPFES3024 Inspect and maintain portable foam-generating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DF50D9" w:rsidP="006803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D4CC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0288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C297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03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03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03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03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03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03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03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03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03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03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03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0340"/>
  </w:style>
  <w:style w:type="character" w:customStyle="1" w:styleId="Heading1Char">
    <w:name w:val="Heading 1 Char"/>
    <w:basedOn w:val="DefaultParagraphFont"/>
    <w:link w:val="Heading1"/>
    <w:rsid w:val="006803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03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03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034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8034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803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03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8034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803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03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03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03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03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03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03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03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03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03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03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03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03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03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03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03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03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03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03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03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80340"/>
    <w:rPr>
      <w:b/>
      <w:spacing w:val="0"/>
    </w:rPr>
  </w:style>
  <w:style w:type="paragraph" w:customStyle="1" w:styleId="SuperTitle">
    <w:name w:val="SuperTitle"/>
    <w:basedOn w:val="Title"/>
    <w:rsid w:val="006803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03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03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03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03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03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03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03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03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03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03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03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0340"/>
    <w:rPr>
      <w:i/>
    </w:rPr>
  </w:style>
  <w:style w:type="paragraph" w:styleId="Caption">
    <w:name w:val="caption"/>
    <w:basedOn w:val="BodyText"/>
    <w:next w:val="Normal"/>
    <w:qFormat/>
    <w:rsid w:val="006803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03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03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0340"/>
  </w:style>
  <w:style w:type="paragraph" w:styleId="TableofFigures">
    <w:name w:val="table of figures"/>
    <w:basedOn w:val="Normal"/>
    <w:next w:val="Normal"/>
    <w:semiHidden/>
    <w:rsid w:val="006803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034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80340"/>
    <w:rPr>
      <w:rFonts w:ascii="Wingdings" w:hAnsi="Wingdings"/>
    </w:rPr>
  </w:style>
  <w:style w:type="paragraph" w:customStyle="1" w:styleId="TableHeading">
    <w:name w:val="Table Heading"/>
    <w:basedOn w:val="HeadingBase"/>
    <w:rsid w:val="006803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0340"/>
    <w:rPr>
      <w:color w:val="0033CC"/>
      <w:u w:val="none"/>
    </w:rPr>
  </w:style>
  <w:style w:type="paragraph" w:customStyle="1" w:styleId="BodyTextRight">
    <w:name w:val="Body Text Right"/>
    <w:basedOn w:val="BodyText"/>
    <w:rsid w:val="006803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03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034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03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03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03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0340"/>
    <w:rPr>
      <w:sz w:val="32"/>
    </w:rPr>
  </w:style>
  <w:style w:type="paragraph" w:customStyle="1" w:styleId="HeadingProcedure">
    <w:name w:val="Heading Procedure"/>
    <w:basedOn w:val="HeadingBase"/>
    <w:next w:val="Normal"/>
    <w:rsid w:val="006803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0340"/>
    <w:pPr>
      <w:spacing w:before="60" w:after="60"/>
    </w:pPr>
  </w:style>
  <w:style w:type="paragraph" w:styleId="ListContinue">
    <w:name w:val="List Continue"/>
    <w:basedOn w:val="List"/>
    <w:rsid w:val="00680340"/>
    <w:pPr>
      <w:ind w:firstLine="0"/>
    </w:pPr>
  </w:style>
  <w:style w:type="paragraph" w:customStyle="1" w:styleId="ListNote">
    <w:name w:val="List Note"/>
    <w:basedOn w:val="List"/>
    <w:rsid w:val="006803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03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03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0340"/>
    <w:rPr>
      <w:rFonts w:ascii="Courier New" w:hAnsi="Courier New"/>
    </w:rPr>
  </w:style>
  <w:style w:type="paragraph" w:customStyle="1" w:styleId="NoteBullet">
    <w:name w:val="Note Bullet"/>
    <w:basedOn w:val="Note"/>
    <w:rsid w:val="006803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03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03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03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034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803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03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0340"/>
    <w:rPr>
      <w:b/>
      <w:smallCaps/>
    </w:rPr>
  </w:style>
  <w:style w:type="paragraph" w:customStyle="1" w:styleId="TableListNumber">
    <w:name w:val="Table List Number"/>
    <w:basedOn w:val="ListNumber"/>
    <w:rsid w:val="006803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03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0340"/>
    <w:pPr>
      <w:numPr>
        <w:numId w:val="10"/>
      </w:numPr>
    </w:pPr>
  </w:style>
  <w:style w:type="paragraph" w:customStyle="1" w:styleId="ListAlpha2">
    <w:name w:val="List Alpha 2"/>
    <w:basedOn w:val="List2"/>
    <w:rsid w:val="00680340"/>
    <w:pPr>
      <w:numPr>
        <w:numId w:val="9"/>
      </w:numPr>
    </w:pPr>
  </w:style>
  <w:style w:type="paragraph" w:styleId="List2">
    <w:name w:val="List 2"/>
    <w:basedOn w:val="BodyText"/>
    <w:rsid w:val="006803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03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03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034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8034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80340"/>
    <w:pPr>
      <w:numPr>
        <w:numId w:val="5"/>
      </w:numPr>
    </w:pPr>
  </w:style>
  <w:style w:type="paragraph" w:styleId="ListContinue2">
    <w:name w:val="List Continue 2"/>
    <w:basedOn w:val="List2"/>
    <w:rsid w:val="00680340"/>
    <w:pPr>
      <w:ind w:firstLine="0"/>
    </w:pPr>
  </w:style>
  <w:style w:type="paragraph" w:styleId="ListContinue3">
    <w:name w:val="List Continue 3"/>
    <w:basedOn w:val="List3"/>
    <w:rsid w:val="00680340"/>
    <w:pPr>
      <w:ind w:left="1021" w:firstLine="0"/>
    </w:pPr>
  </w:style>
  <w:style w:type="paragraph" w:styleId="ListContinue4">
    <w:name w:val="List Continue 4"/>
    <w:basedOn w:val="List4"/>
    <w:rsid w:val="00680340"/>
    <w:pPr>
      <w:ind w:firstLine="0"/>
    </w:pPr>
  </w:style>
  <w:style w:type="paragraph" w:styleId="ListContinue5">
    <w:name w:val="List Continue 5"/>
    <w:basedOn w:val="List5"/>
    <w:rsid w:val="00680340"/>
    <w:pPr>
      <w:ind w:firstLine="0"/>
    </w:pPr>
  </w:style>
  <w:style w:type="paragraph" w:styleId="ListNumber3">
    <w:name w:val="List Number 3"/>
    <w:basedOn w:val="List3"/>
    <w:rsid w:val="00680340"/>
    <w:pPr>
      <w:numPr>
        <w:numId w:val="6"/>
      </w:numPr>
    </w:pPr>
  </w:style>
  <w:style w:type="paragraph" w:styleId="ListNumber4">
    <w:name w:val="List Number 4"/>
    <w:basedOn w:val="List4"/>
    <w:rsid w:val="00680340"/>
    <w:pPr>
      <w:numPr>
        <w:numId w:val="7"/>
      </w:numPr>
    </w:pPr>
  </w:style>
  <w:style w:type="paragraph" w:styleId="ListNumber5">
    <w:name w:val="List Number 5"/>
    <w:basedOn w:val="List5"/>
    <w:rsid w:val="00680340"/>
    <w:pPr>
      <w:numPr>
        <w:numId w:val="8"/>
      </w:numPr>
    </w:pPr>
  </w:style>
  <w:style w:type="paragraph" w:styleId="BlockText">
    <w:name w:val="Block Text"/>
    <w:basedOn w:val="Normal"/>
    <w:rsid w:val="006803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03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0340"/>
    <w:rPr>
      <w:sz w:val="16"/>
      <w:vertAlign w:val="superscript"/>
    </w:rPr>
  </w:style>
  <w:style w:type="character" w:customStyle="1" w:styleId="Symbols">
    <w:name w:val="Symbols"/>
    <w:basedOn w:val="DefaultParagraphFont"/>
    <w:rsid w:val="00680340"/>
    <w:rPr>
      <w:rFonts w:ascii="Symbol" w:hAnsi="Symbol"/>
    </w:rPr>
  </w:style>
  <w:style w:type="character" w:customStyle="1" w:styleId="MenuOptions">
    <w:name w:val="Menu Options"/>
    <w:basedOn w:val="DefaultParagraphFont"/>
    <w:rsid w:val="006803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0340"/>
    <w:rPr>
      <w:b/>
    </w:rPr>
  </w:style>
  <w:style w:type="character" w:customStyle="1" w:styleId="Underlined">
    <w:name w:val="Underlined"/>
    <w:basedOn w:val="DefaultParagraphFont"/>
    <w:rsid w:val="00680340"/>
    <w:rPr>
      <w:u w:val="single"/>
    </w:rPr>
  </w:style>
  <w:style w:type="paragraph" w:customStyle="1" w:styleId="TableBodyTextRight">
    <w:name w:val="Table Body Text Right"/>
    <w:basedOn w:val="TableBodyText"/>
    <w:rsid w:val="006803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0340"/>
    <w:rPr>
      <w:sz w:val="18"/>
    </w:rPr>
  </w:style>
  <w:style w:type="paragraph" w:customStyle="1" w:styleId="BodySmallRight">
    <w:name w:val="Body Small Right"/>
    <w:basedOn w:val="BodyTextRight"/>
    <w:rsid w:val="00680340"/>
    <w:rPr>
      <w:sz w:val="18"/>
      <w:szCs w:val="18"/>
    </w:rPr>
  </w:style>
  <w:style w:type="paragraph" w:customStyle="1" w:styleId="MarginEdition">
    <w:name w:val="Margin Edition"/>
    <w:basedOn w:val="MarginNote"/>
    <w:rsid w:val="006803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0340"/>
    <w:rPr>
      <w:sz w:val="2"/>
      <w:szCs w:val="2"/>
    </w:rPr>
  </w:style>
  <w:style w:type="character" w:customStyle="1" w:styleId="Small">
    <w:name w:val="Small"/>
    <w:basedOn w:val="DefaultParagraphFont"/>
    <w:rsid w:val="00680340"/>
    <w:rPr>
      <w:sz w:val="16"/>
    </w:rPr>
  </w:style>
  <w:style w:type="paragraph" w:customStyle="1" w:styleId="WideTable">
    <w:name w:val="Wide Table"/>
    <w:basedOn w:val="Normal"/>
    <w:rsid w:val="006803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0340"/>
  </w:style>
  <w:style w:type="paragraph" w:styleId="Quote">
    <w:name w:val="Quote"/>
    <w:basedOn w:val="Heading1"/>
    <w:link w:val="QuoteChar"/>
    <w:qFormat/>
    <w:rsid w:val="006803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03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0340"/>
    <w:pPr>
      <w:pageBreakBefore/>
    </w:pPr>
  </w:style>
  <w:style w:type="paragraph" w:customStyle="1" w:styleId="Border">
    <w:name w:val="Border"/>
    <w:basedOn w:val="Normal"/>
    <w:qFormat/>
    <w:rsid w:val="006803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03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03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03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03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03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03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03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03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0340"/>
    <w:rPr>
      <w:u w:val="single"/>
    </w:rPr>
  </w:style>
  <w:style w:type="character" w:customStyle="1" w:styleId="BoldandItalics">
    <w:name w:val="Bold and Italics"/>
    <w:qFormat/>
    <w:rsid w:val="00680340"/>
    <w:rPr>
      <w:b/>
      <w:i/>
      <w:u w:val="none"/>
    </w:rPr>
  </w:style>
  <w:style w:type="paragraph" w:styleId="BalloonText">
    <w:name w:val="Balloon Text"/>
    <w:basedOn w:val="Normal"/>
    <w:link w:val="BalloonTextChar"/>
    <w:rsid w:val="006803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03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03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03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03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03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0340"/>
    <w:pPr>
      <w:spacing w:before="0" w:after="0"/>
    </w:pPr>
  </w:style>
  <w:style w:type="paragraph" w:customStyle="1" w:styleId="BodyTextBold">
    <w:name w:val="Body Text Bold"/>
    <w:basedOn w:val="BodyText"/>
    <w:qFormat/>
    <w:rsid w:val="00680340"/>
    <w:rPr>
      <w:b/>
    </w:rPr>
  </w:style>
  <w:style w:type="character" w:styleId="Hyperlink">
    <w:name w:val="Hyperlink"/>
    <w:basedOn w:val="DefaultParagraphFont"/>
    <w:uiPriority w:val="99"/>
    <w:unhideWhenUsed/>
    <w:rsid w:val="00DF50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482</Words>
  <Characters>3317</Characters>
  <Application>Microsoft Office Word</Application>
  <DocSecurity>0</DocSecurity>
  <Lines>87</Lines>
  <Paragraphs>65</Paragraphs>
  <ScaleCrop>false</ScaleCrop>
  <Company>Author-it Software Corporation Ltd.</Company>
  <LinksUpToDate>false</LinksUpToDate>
  <CharactersWithSpaces>3734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CPPFES3024 Inspect and maintain portable foam-generating equipment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2022-12-19T06:22:00Z</dcterms:created>
  <dcterms:modified xsi:type="dcterms:W3CDTF">2022-12-19T06:22:00Z</dcterms:modified>
</cp:coreProperties>
</file>