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D22" w:rsidP="00ED1D22">
      <w:pPr>
        <w:pStyle w:val="Title"/>
      </w:pPr>
      <w:r>
        <w:fldChar w:fldCharType="begin"/>
      </w:r>
      <w:r>
        <w:instrText xml:space="preserve"> TITLE   \* MERGEFORMAT </w:instrText>
      </w:r>
      <w:r>
        <w:fldChar w:fldCharType="separate"/>
      </w:r>
      <w:r>
        <w:t>CPPFES2050 Monitor storage operations for scheduled gaseous fire-extinguishing agents</w:t>
      </w:r>
      <w:r>
        <w:fldChar w:fldCharType="end"/>
      </w:r>
    </w:p>
    <w:p w:rsidR="00ED1D22" w:rsidP="00ED1D22">
      <w:pPr>
        <w:pStyle w:val="Version"/>
        <w:sectPr w:rsidSect="007D48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80E" w:rsidP="007D480E">
      <w:pPr>
        <w:pStyle w:val="SuperHeading"/>
      </w:pPr>
      <w:r w:rsidRPr="007D480E">
        <w:t>CPPFES2050 Monitor storage operations for scheduled gaseous fire-extinguishing agents</w:t>
      </w:r>
    </w:p>
    <w:p w:rsidR="00000000" w:rsidRPr="007D480E" w:rsidP="007D480E">
      <w:pPr>
        <w:pStyle w:val="Heading1"/>
      </w:pPr>
      <w:bookmarkStart w:id="1" w:name="O_1163659"/>
      <w:bookmarkEnd w:id="1"/>
      <w:r w:rsidRPr="007D480E">
        <w:t>Modification History</w:t>
      </w:r>
    </w:p>
    <w:tbl>
      <w:tblPr>
        <w:tblW w:w="0" w:type="auto"/>
        <w:tblLayout w:type="fixed"/>
        <w:tblCellMar>
          <w:left w:w="62" w:type="dxa"/>
          <w:right w:w="62" w:type="dxa"/>
        </w:tblCellMar>
        <w:tblLook w:val="0000"/>
      </w:tblPr>
      <w:tblGrid>
        <w:gridCol w:w="1305"/>
        <w:gridCol w:w="7597"/>
      </w:tblGrid>
      <w:tr w:rsidTr="007D480E">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Release 1</w:t>
            </w:r>
          </w:p>
        </w:tc>
        <w:tc>
          <w:tcPr>
            <w:tcW w:w="7597" w:type="dxa"/>
            <w:tcBorders>
              <w:top w:val="nil"/>
              <w:left w:val="nil"/>
              <w:bottom w:val="nil"/>
              <w:right w:val="nil"/>
            </w:tcBorders>
            <w:tcMar>
              <w:top w:w="0" w:type="dxa"/>
              <w:left w:w="62" w:type="dxa"/>
              <w:bottom w:w="0" w:type="dxa"/>
              <w:right w:w="62" w:type="dxa"/>
            </w:tcMar>
          </w:tcPr>
          <w:p w:rsidR="00000000" w:rsidRPr="007D480E" w:rsidP="007D480E">
            <w:pPr>
              <w:pStyle w:val="BodyText"/>
            </w:pPr>
            <w:r w:rsidRPr="007D480E">
              <w:t>This version first released with CPP Property Services Training Package Release 13.0.</w:t>
            </w:r>
          </w:p>
          <w:p w:rsidR="00000000" w:rsidRPr="007D480E" w:rsidP="007D480E">
            <w:pPr>
              <w:pStyle w:val="BodyText"/>
            </w:pPr>
            <w:r w:rsidRPr="007D480E">
              <w:t>Supersedes and is equivalent to CPPFES2050A Monitor storage operations for scheduled gaseous fire-extinguishing agents.  Unit updated to meet the Standards for Training Packages 2012.</w:t>
            </w:r>
          </w:p>
        </w:tc>
      </w:tr>
    </w:tbl>
    <w:p w:rsidR="00000000" w:rsidRPr="007D480E" w:rsidP="007D480E">
      <w:pPr>
        <w:pStyle w:val="BodyText"/>
      </w:pPr>
    </w:p>
    <w:p w:rsidR="00000000" w:rsidRPr="007D480E" w:rsidP="007D480E">
      <w:pPr>
        <w:pStyle w:val="AllowPageBreak"/>
      </w:pPr>
    </w:p>
    <w:p w:rsidR="00000000" w:rsidRPr="007D480E" w:rsidP="007D480E">
      <w:pPr>
        <w:pStyle w:val="Heading1"/>
      </w:pPr>
      <w:bookmarkStart w:id="2" w:name="O_1163665"/>
      <w:bookmarkEnd w:id="2"/>
      <w:r w:rsidRPr="007D480E">
        <w:t>Application</w:t>
      </w:r>
    </w:p>
    <w:p w:rsidR="00000000" w:rsidRPr="007D480E" w:rsidP="00ED1D22">
      <w:pPr>
        <w:pStyle w:val="BodyText"/>
      </w:pPr>
      <w:r w:rsidRPr="007D480E">
        <w:t>This unit of competency specifies the s</w:t>
      </w:r>
      <w:r w:rsidRPr="007D480E">
        <w:t xml:space="preserve">kills and knowledge required to monitor container storage areas for ozone depleting substances (ODS) and synthetic greenhouse gases (SGG) to identify and control minor hazards and security incidents. </w:t>
      </w:r>
    </w:p>
    <w:p w:rsidR="00000000" w:rsidRPr="007D480E" w:rsidP="00ED1D22">
      <w:pPr>
        <w:pStyle w:val="BodyText"/>
      </w:pPr>
      <w:r w:rsidRPr="007D480E">
        <w:t>The unit does not include control of significant incide</w:t>
      </w:r>
      <w:r w:rsidRPr="007D480E">
        <w:t>nts which are either part of emergency response competencies or the role of management personnel.</w:t>
      </w:r>
    </w:p>
    <w:p w:rsidR="00000000" w:rsidRPr="007D480E" w:rsidP="00ED1D22">
      <w:pPr>
        <w:pStyle w:val="BodyText"/>
      </w:pPr>
      <w:r w:rsidRPr="007D480E">
        <w:t>The unit is suitable for those with basic skills and knowledge undertaking routine work tasks under the direction of more experienced workers.</w:t>
      </w:r>
    </w:p>
    <w:p w:rsidR="00000000" w:rsidRPr="007D480E" w:rsidP="00ED1D22">
      <w:pPr>
        <w:pStyle w:val="BodyText"/>
      </w:pPr>
      <w:r w:rsidRPr="007D480E">
        <w:t>ODS and SGG are</w:t>
      </w:r>
      <w:r w:rsidRPr="007D480E">
        <w:t xml:space="preserve"> gaseous fire-extinguishing agents listed in Schedule 1 of the Ozone Protection and Synthetic Greenhouse Gas Management Act 1989 and by law, can only be handled by people who hold an appropriate extinguishing agent handling licence (EAHL). This unit suppor</w:t>
      </w:r>
      <w:r w:rsidRPr="007D480E">
        <w:t>ts one or more EAHLs prescribed under the Act. For further information, check with the relevant regulatory authority.</w:t>
      </w:r>
    </w:p>
    <w:p w:rsidR="00000000" w:rsidRPr="007D480E" w:rsidP="007D480E">
      <w:pPr>
        <w:pStyle w:val="Heading1"/>
      </w:pPr>
      <w:bookmarkStart w:id="3" w:name="O_1163664"/>
      <w:bookmarkEnd w:id="3"/>
      <w:r w:rsidRPr="007D480E">
        <w:t>Pre-requisite Unit</w:t>
      </w:r>
    </w:p>
    <w:p w:rsidR="00000000" w:rsidRPr="007D480E" w:rsidP="00ED1D22">
      <w:pPr>
        <w:pStyle w:val="BodyText"/>
      </w:pPr>
      <w:r w:rsidRPr="007D480E">
        <w:t>Nil.</w:t>
      </w:r>
    </w:p>
    <w:p w:rsidR="00000000" w:rsidRPr="007D480E" w:rsidP="007D480E">
      <w:pPr>
        <w:pStyle w:val="Heading1"/>
      </w:pPr>
      <w:bookmarkStart w:id="4" w:name="O_1163663"/>
      <w:bookmarkEnd w:id="4"/>
      <w:r w:rsidRPr="007D480E">
        <w:t>Unit Sector</w:t>
      </w:r>
    </w:p>
    <w:p w:rsidR="00000000" w:rsidRPr="007D480E" w:rsidP="00ED1D22">
      <w:pPr>
        <w:pStyle w:val="BodyText"/>
      </w:pPr>
      <w:r w:rsidRPr="007D480E">
        <w:t>Fire Protection Inspection and Testing</w:t>
      </w:r>
    </w:p>
    <w:p w:rsidR="00000000" w:rsidRPr="007D480E" w:rsidP="007D480E">
      <w:pPr>
        <w:pStyle w:val="Heading1"/>
      </w:pPr>
      <w:bookmarkStart w:id="5" w:name="O_1163662"/>
      <w:bookmarkEnd w:id="5"/>
      <w:r w:rsidRPr="007D480E">
        <w:t>Elemen</w:t>
      </w:r>
      <w:r w:rsidRPr="007D480E">
        <w:t>ts and Performance Criteria</w:t>
      </w:r>
    </w:p>
    <w:tbl>
      <w:tblPr>
        <w:tblW w:w="0" w:type="auto"/>
        <w:tblLayout w:type="fixed"/>
        <w:tblCellMar>
          <w:left w:w="62" w:type="dxa"/>
          <w:right w:w="62" w:type="dxa"/>
        </w:tblCellMar>
        <w:tblLook w:val="0000"/>
      </w:tblPr>
      <w:tblGrid>
        <w:gridCol w:w="313"/>
        <w:gridCol w:w="2357"/>
        <w:gridCol w:w="804"/>
        <w:gridCol w:w="5659"/>
      </w:tblGrid>
      <w:tr w:rsidTr="007D480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Performance criteria describe what needs to be done to demonstrate achievement of the element.</w:t>
            </w:r>
          </w:p>
        </w:tc>
      </w:tr>
      <w:tr w:rsidTr="007D480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1</w:t>
            </w:r>
          </w:p>
        </w:tc>
        <w:tc>
          <w:tcPr>
            <w:tcW w:w="2357" w:type="dxa"/>
            <w:vMerge w:val="restart"/>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 xml:space="preserve">Plan and prepare to </w:t>
            </w:r>
            <w:r w:rsidRPr="007D480E">
              <w:t>monitor operations for ODS and SGG storage areas.</w:t>
            </w: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1.1</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 xml:space="preserve">Read work instructions to clarify types of ODS and SGG </w:t>
            </w:r>
            <w:r w:rsidRPr="007D480E">
              <w:t>agents and containers and their storage specifications.</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1.2</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Plan work activities to comply with risk management plan for storage arrangement, ODS and SGG regulations, relevant Australian Standards a</w:t>
            </w:r>
            <w:r w:rsidRPr="007D480E">
              <w:t>nd workplace requirements.</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1.3</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Identify potential and actual breaches of rules and regulations associated with work instructions and take required action to ensure compliance according to regulatory and workplace requirements.</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1.4</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Select and use required tools and equipment, including personal protective equipment (PPE).</w:t>
            </w:r>
          </w:p>
        </w:tc>
      </w:tr>
      <w:tr w:rsidTr="007D480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D480E">
            <w:pPr>
              <w:pStyle w:val="BodyText"/>
              <w:rPr>
                <w:lang w:val="en-NZ"/>
              </w:rPr>
            </w:pPr>
          </w:p>
        </w:tc>
      </w:tr>
      <w:tr w:rsidTr="007D480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2</w:t>
            </w:r>
          </w:p>
        </w:tc>
        <w:tc>
          <w:tcPr>
            <w:tcW w:w="2357" w:type="dxa"/>
            <w:vMerge w:val="restart"/>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Identify hazards in monitored area.</w:t>
            </w: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2.1</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Identify and record potential hazards in the storage area.</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2.2</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Monitor leak detection equipment and security systems to identify, assess and record existing hazards in the storage area.</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2.3</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Identify and record the type, scope and likely impact of unresolved hazards according to workplace requirements.</w:t>
            </w:r>
          </w:p>
        </w:tc>
      </w:tr>
      <w:tr w:rsidTr="007D480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D480E">
            <w:pPr>
              <w:pStyle w:val="BodyText"/>
              <w:rPr>
                <w:lang w:val="en-NZ"/>
              </w:rPr>
            </w:pPr>
          </w:p>
        </w:tc>
      </w:tr>
      <w:tr w:rsidTr="007D480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3</w:t>
            </w:r>
          </w:p>
        </w:tc>
        <w:tc>
          <w:tcPr>
            <w:tcW w:w="2357" w:type="dxa"/>
            <w:vMerge w:val="restart"/>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Assess and address risk of identified hazard.</w:t>
            </w: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3.1</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Assess risk and identify risk level posed by hazard according to workplace requirements.</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3.2</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Identify control measures to eliminate or minimise risk in discussion with relevant persons and according to w</w:t>
            </w:r>
            <w:r w:rsidRPr="007D480E">
              <w:t>orkplace requirements.</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3.3</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Apply identified control measures to eliminate or minimise risk according to workplace requirements.</w:t>
            </w:r>
          </w:p>
        </w:tc>
      </w:tr>
      <w:tr w:rsidTr="007D480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D480E">
            <w:pPr>
              <w:pStyle w:val="BodyText"/>
              <w:rPr>
                <w:lang w:val="en-NZ"/>
              </w:rPr>
            </w:pPr>
          </w:p>
        </w:tc>
      </w:tr>
      <w:tr w:rsidTr="007D480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4</w:t>
            </w:r>
          </w:p>
        </w:tc>
        <w:tc>
          <w:tcPr>
            <w:tcW w:w="2357" w:type="dxa"/>
            <w:vMerge w:val="restart"/>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Monitor ODS and SGG emissions and detection system.</w:t>
            </w: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4.1</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Identify leak detection test equipment and emission detection system components.</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4.2</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Interpret emission detection system information to identify causes or sources of detected emissions.</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4.3</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Respond to detected emissions according to regulatory and workplace requirements.</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4.4</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 xml:space="preserve">Participate in investigation of detected emission and </w:t>
            </w:r>
            <w:r w:rsidRPr="007D480E">
              <w:t>suggest recommendations for improvements to the emission detection system according to workplace requirements.</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4.5</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Record emission detection results according to regulatory and workplace requirements.</w:t>
            </w:r>
          </w:p>
        </w:tc>
      </w:tr>
      <w:tr w:rsidTr="007D480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D480E">
            <w:pPr>
              <w:pStyle w:val="BodyText"/>
              <w:rPr>
                <w:lang w:val="en-NZ"/>
              </w:rPr>
            </w:pPr>
          </w:p>
        </w:tc>
      </w:tr>
      <w:tr w:rsidTr="007D480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5</w:t>
            </w:r>
          </w:p>
        </w:tc>
        <w:tc>
          <w:tcPr>
            <w:tcW w:w="2357" w:type="dxa"/>
            <w:vMerge w:val="restart"/>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Perform leak detection test.</w:t>
            </w: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5.1</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Perform leak detection test on storage container, connections, valves and gauges.</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5.2</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Monitor and identify changes in storage container pressure.</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5.3</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Follow procedures to address identified storage container leakage according to regulatory and workplace requirements.</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5.4</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Record leak detection test results according to regulatory and w</w:t>
            </w:r>
            <w:r w:rsidRPr="007D480E">
              <w:t>orkplace requirements.</w:t>
            </w:r>
          </w:p>
        </w:tc>
      </w:tr>
      <w:tr w:rsidTr="007D480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D480E">
            <w:pPr>
              <w:pStyle w:val="BodyText"/>
              <w:rPr>
                <w:lang w:val="en-NZ"/>
              </w:rPr>
            </w:pPr>
          </w:p>
        </w:tc>
      </w:tr>
      <w:tr w:rsidTr="007D480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6</w:t>
            </w:r>
          </w:p>
        </w:tc>
        <w:tc>
          <w:tcPr>
            <w:tcW w:w="2357" w:type="dxa"/>
            <w:vMerge w:val="restart"/>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Track and audit storage container movements.</w:t>
            </w: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6.1</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Schedule storage container audit to minimise disruption to the workplace.</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6.2</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Audit and record storage container movements according to workplace requirements.</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6.3</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U</w:t>
            </w:r>
            <w:r w:rsidRPr="007D480E">
              <w:t>pdate record management system and record audit results.</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6.4</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Prepare non-compliance report, including options for system improvement, and forward to relevant persons according to regulatory and workplace requirements.</w:t>
            </w:r>
          </w:p>
        </w:tc>
      </w:tr>
      <w:tr w:rsidTr="007D480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D480E">
            <w:pPr>
              <w:pStyle w:val="BodyText"/>
              <w:rPr>
                <w:lang w:val="en-NZ"/>
              </w:rPr>
            </w:pPr>
          </w:p>
        </w:tc>
      </w:tr>
      <w:tr w:rsidTr="007D480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7</w:t>
            </w:r>
          </w:p>
        </w:tc>
        <w:tc>
          <w:tcPr>
            <w:tcW w:w="2357" w:type="dxa"/>
            <w:vMerge w:val="restart"/>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Monitor storage container security.</w:t>
            </w: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7.1</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Identify security system components according to manufacturer requirements.</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7.2</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Interpret security system information to detect security incident.</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7.3</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Identify cause or source of detected security incident and respond to incident according to workplace requirements.</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7.4</w:t>
            </w:r>
          </w:p>
        </w:tc>
        <w:tc>
          <w:tcPr>
            <w:tcW w:w="5659"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 xml:space="preserve">Participate in investigation of detected security incident and suggest recommendations for improvements to security system according </w:t>
            </w:r>
            <w:r w:rsidRPr="007D480E">
              <w:t>to workplace requirements.</w:t>
            </w:r>
          </w:p>
        </w:tc>
      </w:tr>
      <w:tr w:rsidTr="007D48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480E">
            <w:pPr>
              <w:pStyle w:val="BodyText"/>
              <w:rPr>
                <w:lang w:val="en-NZ"/>
              </w:rPr>
            </w:pPr>
            <w:r w:rsidRPr="007D480E">
              <w:t>7.5</w:t>
            </w:r>
          </w:p>
        </w:tc>
        <w:tc>
          <w:tcPr>
            <w:tcW w:w="5659" w:type="dxa"/>
            <w:tcBorders>
              <w:top w:val="nil"/>
              <w:left w:val="nil"/>
              <w:bottom w:val="nil"/>
              <w:right w:val="nil"/>
            </w:tcBorders>
            <w:tcMar>
              <w:top w:w="0" w:type="dxa"/>
              <w:left w:w="62" w:type="dxa"/>
              <w:bottom w:w="0" w:type="dxa"/>
              <w:right w:w="62" w:type="dxa"/>
            </w:tcMar>
          </w:tcPr>
          <w:p w:rsidR="00000000" w:rsidRPr="007D480E" w:rsidP="007D480E">
            <w:pPr>
              <w:pStyle w:val="BodyText"/>
            </w:pPr>
            <w:r w:rsidRPr="007D480E">
              <w:t>Prepare security incident report and forward to relevant persons according to regulatory and workplace requirements.</w:t>
            </w:r>
          </w:p>
        </w:tc>
      </w:tr>
    </w:tbl>
    <w:p w:rsidR="00000000" w:rsidRPr="007D480E" w:rsidP="007D480E">
      <w:pPr>
        <w:pStyle w:val="BodyText"/>
      </w:pPr>
    </w:p>
    <w:p w:rsidR="00000000" w:rsidRPr="007D480E" w:rsidP="007D480E">
      <w:pPr>
        <w:pStyle w:val="AllowPageBreak"/>
      </w:pPr>
    </w:p>
    <w:p w:rsidR="00000000" w:rsidRPr="007D480E" w:rsidP="007D480E">
      <w:pPr>
        <w:pStyle w:val="Heading1"/>
      </w:pPr>
      <w:bookmarkStart w:id="6" w:name="O_1163661"/>
      <w:bookmarkEnd w:id="6"/>
      <w:r w:rsidRPr="007D480E">
        <w:t>Foundation Skills</w:t>
      </w:r>
    </w:p>
    <w:p w:rsidR="00000000" w:rsidRPr="007D480E" w:rsidP="00ED1D22">
      <w:pPr>
        <w:pStyle w:val="BodyText"/>
      </w:pPr>
      <w:r w:rsidRPr="007D480E">
        <w:t>Foundation skills essential to performance are explicit in the performance criteria of this unit of competency.</w:t>
      </w:r>
    </w:p>
    <w:p w:rsidR="00000000" w:rsidRPr="007D480E" w:rsidP="007D480E">
      <w:pPr>
        <w:pStyle w:val="Heading1"/>
      </w:pPr>
      <w:bookmarkStart w:id="7" w:name="O_1163660"/>
      <w:bookmarkEnd w:id="7"/>
      <w:r w:rsidRPr="007D480E">
        <w:t>Unit Mapping Information</w:t>
      </w:r>
    </w:p>
    <w:p w:rsidR="00000000" w:rsidRPr="007D480E" w:rsidP="00ED1D22">
      <w:pPr>
        <w:pStyle w:val="BodyText"/>
      </w:pPr>
      <w:r w:rsidRPr="007D480E">
        <w:t>Supersedes and is equivalent to CPPFES2050A Monitor storage operations for scheduled gaseous fire-ex</w:t>
      </w:r>
      <w:r w:rsidRPr="007D480E">
        <w:t>tinguishing agents.</w:t>
      </w:r>
    </w:p>
    <w:p w:rsidR="00000000" w:rsidRPr="007D480E" w:rsidP="007D480E">
      <w:pPr>
        <w:pStyle w:val="Heading1"/>
      </w:pPr>
      <w:bookmarkStart w:id="8" w:name="O_1163653"/>
      <w:bookmarkEnd w:id="8"/>
      <w:r w:rsidRPr="007D480E">
        <w:t>Links</w:t>
      </w:r>
    </w:p>
    <w:p w:rsidR="00000000" w:rsidRPr="007D480E" w:rsidP="00ED1D22">
      <w:pPr>
        <w:pStyle w:val="BodyText"/>
      </w:pPr>
      <w:r w:rsidRPr="007D480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76AF6">
        <w:rPr>
          <w:rStyle w:val="Hyperlink"/>
        </w:rPr>
        <w:t>https://vetnet.gov.au/Pages/TrainingDocs.aspx?q=6f3f9672-30e8-4835-b348-205dfcf13d9b</w:t>
      </w:r>
      <w:r>
        <w:fldChar w:fldCharType="end"/>
      </w:r>
    </w:p>
    <w:p w:rsidR="00000000" w:rsidRPr="007D480E" w:rsidP="007D480E"/>
    <w:sectPr w:rsidSect="007D48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8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80E" w:rsidRPr="00ED1D22" w:rsidP="00ED1D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8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D22" w:rsidP="007D48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1D22" w:rsidP="007D48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D1D22" w:rsidP="007D48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8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D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480E" w:rsidRPr="00ED1D22" w:rsidP="00ED1D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8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D22" w:rsidRPr="002D2AF8" w:rsidP="007D480E">
    <w:pPr>
      <w:pStyle w:val="Header"/>
      <w:framePr w:wrap="around"/>
    </w:pPr>
    <w:r>
      <w:fldChar w:fldCharType="begin"/>
    </w:r>
    <w:r>
      <w:instrText xml:space="preserve"> TITLE   \* MERGEFORMAT </w:instrText>
    </w:r>
    <w:r>
      <w:fldChar w:fldCharType="separate"/>
    </w:r>
    <w:r>
      <w:t>CPPFES2050 Monitor storage operations for scheduled gaseous fire-extinguishing agents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D1D22" w:rsidP="007D48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8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480E"/>
    <w:pPr>
      <w:spacing w:before="360" w:after="60"/>
      <w:outlineLvl w:val="0"/>
    </w:pPr>
    <w:rPr>
      <w:sz w:val="32"/>
    </w:rPr>
  </w:style>
  <w:style w:type="paragraph" w:styleId="Heading2">
    <w:name w:val="heading 2"/>
    <w:basedOn w:val="HeadingBase"/>
    <w:next w:val="BodyText"/>
    <w:link w:val="Heading2Char"/>
    <w:qFormat/>
    <w:rsid w:val="007D480E"/>
    <w:pPr>
      <w:keepLines/>
      <w:spacing w:before="240" w:after="120"/>
      <w:outlineLvl w:val="1"/>
    </w:pPr>
    <w:rPr>
      <w:sz w:val="28"/>
      <w:szCs w:val="40"/>
    </w:rPr>
  </w:style>
  <w:style w:type="paragraph" w:styleId="Heading3">
    <w:name w:val="heading 3"/>
    <w:basedOn w:val="HeadingBase"/>
    <w:next w:val="BodyText"/>
    <w:link w:val="Heading3Char"/>
    <w:qFormat/>
    <w:rsid w:val="007D480E"/>
    <w:pPr>
      <w:spacing w:before="180" w:after="120"/>
      <w:outlineLvl w:val="2"/>
    </w:pPr>
    <w:rPr>
      <w:spacing w:val="-10"/>
      <w:kern w:val="32"/>
    </w:rPr>
  </w:style>
  <w:style w:type="paragraph" w:styleId="Heading4">
    <w:name w:val="heading 4"/>
    <w:basedOn w:val="HeadingBase"/>
    <w:next w:val="BodyText"/>
    <w:link w:val="Heading4Char"/>
    <w:qFormat/>
    <w:rsid w:val="007D480E"/>
    <w:pPr>
      <w:spacing w:before="160" w:after="120"/>
      <w:outlineLvl w:val="3"/>
    </w:pPr>
    <w:rPr>
      <w:sz w:val="22"/>
    </w:rPr>
  </w:style>
  <w:style w:type="paragraph" w:styleId="Heading5">
    <w:name w:val="heading 5"/>
    <w:basedOn w:val="HeadingBase"/>
    <w:next w:val="Normal"/>
    <w:link w:val="Heading5Char"/>
    <w:qFormat/>
    <w:rsid w:val="007D480E"/>
    <w:pPr>
      <w:spacing w:before="80"/>
      <w:outlineLvl w:val="4"/>
    </w:pPr>
    <w:rPr>
      <w:color w:val="918585"/>
      <w:sz w:val="20"/>
    </w:rPr>
  </w:style>
  <w:style w:type="paragraph" w:styleId="Heading6">
    <w:name w:val="heading 6"/>
    <w:basedOn w:val="HeadingBase"/>
    <w:next w:val="Normal"/>
    <w:link w:val="Heading6Char"/>
    <w:qFormat/>
    <w:rsid w:val="007D480E"/>
    <w:pPr>
      <w:spacing w:before="60"/>
      <w:outlineLvl w:val="5"/>
    </w:pPr>
    <w:rPr>
      <w:color w:val="918585"/>
      <w:sz w:val="20"/>
    </w:rPr>
  </w:style>
  <w:style w:type="paragraph" w:styleId="Heading7">
    <w:name w:val="heading 7"/>
    <w:basedOn w:val="Normal"/>
    <w:next w:val="Normal"/>
    <w:link w:val="Heading7Char"/>
    <w:qFormat/>
    <w:rsid w:val="007D480E"/>
    <w:pPr>
      <w:ind w:left="720"/>
      <w:outlineLvl w:val="6"/>
    </w:pPr>
    <w:rPr>
      <w:i/>
    </w:rPr>
  </w:style>
  <w:style w:type="paragraph" w:styleId="Heading8">
    <w:name w:val="heading 8"/>
    <w:basedOn w:val="Normal"/>
    <w:next w:val="Normal"/>
    <w:link w:val="Heading8Char"/>
    <w:qFormat/>
    <w:rsid w:val="007D480E"/>
    <w:pPr>
      <w:ind w:left="720"/>
      <w:outlineLvl w:val="7"/>
    </w:pPr>
    <w:rPr>
      <w:i/>
    </w:rPr>
  </w:style>
  <w:style w:type="paragraph" w:styleId="Heading9">
    <w:name w:val="heading 9"/>
    <w:basedOn w:val="Normal"/>
    <w:next w:val="Normal"/>
    <w:link w:val="Heading9Char"/>
    <w:qFormat/>
    <w:rsid w:val="007D480E"/>
    <w:pPr>
      <w:ind w:left="720"/>
      <w:outlineLvl w:val="8"/>
    </w:pPr>
    <w:rPr>
      <w:i/>
    </w:rPr>
  </w:style>
  <w:style w:type="character" w:default="1" w:styleId="DefaultParagraphFont">
    <w:name w:val="Default Paragraph Font"/>
    <w:uiPriority w:val="1"/>
    <w:unhideWhenUsed/>
    <w:rsid w:val="007D48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80E"/>
  </w:style>
  <w:style w:type="character" w:customStyle="1" w:styleId="Heading1Char">
    <w:name w:val="Heading 1 Char"/>
    <w:basedOn w:val="DefaultParagraphFont"/>
    <w:link w:val="Heading1"/>
    <w:rsid w:val="007D480E"/>
    <w:rPr>
      <w:rFonts w:ascii="Times New Roman" w:eastAsia="Times New Roman" w:hAnsi="Times New Roman" w:cs="Times New Roman"/>
      <w:b/>
      <w:sz w:val="32"/>
      <w:szCs w:val="20"/>
      <w:lang w:eastAsia="en-US"/>
    </w:rPr>
  </w:style>
  <w:style w:type="paragraph" w:styleId="BodyText">
    <w:name w:val="Body Text"/>
    <w:basedOn w:val="Normal"/>
    <w:link w:val="BodyTextChar"/>
    <w:rsid w:val="007D48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480E"/>
    <w:rPr>
      <w:rFonts w:ascii="Times New Roman" w:eastAsia="Times New Roman" w:hAnsi="Times New Roman" w:cs="Times New Roman"/>
      <w:sz w:val="24"/>
      <w:lang w:eastAsia="en-US"/>
    </w:rPr>
  </w:style>
  <w:style w:type="paragraph" w:customStyle="1" w:styleId="SuperHeading">
    <w:name w:val="SuperHeading"/>
    <w:basedOn w:val="Normal"/>
    <w:rsid w:val="007D480E"/>
    <w:pPr>
      <w:spacing w:before="240" w:after="120"/>
      <w:outlineLvl w:val="0"/>
    </w:pPr>
    <w:rPr>
      <w:rFonts w:ascii="Times New Roman" w:hAnsi="Times New Roman"/>
      <w:b/>
      <w:sz w:val="32"/>
    </w:rPr>
  </w:style>
  <w:style w:type="paragraph" w:customStyle="1" w:styleId="AllowPageBreak">
    <w:name w:val="AllowPageBreak"/>
    <w:rsid w:val="007D48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48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8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8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8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8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8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48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480E"/>
    <w:rPr>
      <w:rFonts w:ascii="Courier New" w:eastAsia="Times New Roman" w:hAnsi="Courier New" w:cs="Times New Roman"/>
      <w:i/>
      <w:szCs w:val="20"/>
      <w:lang w:eastAsia="en-US"/>
    </w:rPr>
  </w:style>
  <w:style w:type="paragraph" w:customStyle="1" w:styleId="HeadingBase">
    <w:name w:val="Heading Base"/>
    <w:rsid w:val="007D48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80E"/>
    <w:pPr>
      <w:tabs>
        <w:tab w:val="right" w:leader="dot" w:pos="9072"/>
      </w:tabs>
      <w:ind w:left="567"/>
    </w:pPr>
    <w:rPr>
      <w:szCs w:val="22"/>
    </w:rPr>
  </w:style>
  <w:style w:type="paragraph" w:customStyle="1" w:styleId="TOCBase">
    <w:name w:val="TOC Base"/>
    <w:rsid w:val="007D48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80E"/>
    <w:pPr>
      <w:tabs>
        <w:tab w:val="right" w:leader="dot" w:pos="9072"/>
      </w:tabs>
      <w:spacing w:before="40" w:after="40"/>
      <w:ind w:left="284"/>
    </w:pPr>
    <w:rPr>
      <w:rFonts w:ascii="Times New Roman" w:hAnsi="Times New Roman"/>
    </w:rPr>
  </w:style>
  <w:style w:type="paragraph" w:styleId="TOC1">
    <w:name w:val="toc 1"/>
    <w:basedOn w:val="TOCBase"/>
    <w:next w:val="Normal"/>
    <w:rsid w:val="007D48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48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80E"/>
    <w:rPr>
      <w:rFonts w:ascii="Times New Roman" w:eastAsia="Times New Roman" w:hAnsi="Times New Roman" w:cs="Times New Roman"/>
      <w:sz w:val="16"/>
      <w:lang w:eastAsia="en-US"/>
    </w:rPr>
  </w:style>
  <w:style w:type="paragraph" w:styleId="Title">
    <w:name w:val="Title"/>
    <w:basedOn w:val="HeadingBase"/>
    <w:link w:val="TitleChar"/>
    <w:qFormat/>
    <w:rsid w:val="007D480E"/>
    <w:pPr>
      <w:spacing w:before="5040"/>
      <w:jc w:val="center"/>
    </w:pPr>
    <w:rPr>
      <w:sz w:val="48"/>
      <w:szCs w:val="72"/>
      <w:lang w:val="en-US"/>
    </w:rPr>
  </w:style>
  <w:style w:type="character" w:customStyle="1" w:styleId="TitleChar">
    <w:name w:val="Title Char"/>
    <w:basedOn w:val="DefaultParagraphFont"/>
    <w:link w:val="Title"/>
    <w:rsid w:val="007D48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80E"/>
    <w:pPr>
      <w:tabs>
        <w:tab w:val="left" w:pos="3600"/>
        <w:tab w:val="left" w:pos="3958"/>
      </w:tabs>
    </w:pPr>
  </w:style>
  <w:style w:type="paragraph" w:styleId="List">
    <w:name w:val="List"/>
    <w:basedOn w:val="BodyText"/>
    <w:next w:val="BodyText"/>
    <w:rsid w:val="007D480E"/>
    <w:pPr>
      <w:tabs>
        <w:tab w:val="left" w:pos="340"/>
      </w:tabs>
      <w:spacing w:before="60" w:after="60"/>
      <w:ind w:left="340" w:hanging="340"/>
    </w:pPr>
  </w:style>
  <w:style w:type="paragraph" w:styleId="ListBullet">
    <w:name w:val="List Bullet"/>
    <w:basedOn w:val="List"/>
    <w:rsid w:val="007D480E"/>
    <w:pPr>
      <w:numPr>
        <w:numId w:val="10"/>
      </w:numPr>
      <w:tabs>
        <w:tab w:val="clear" w:pos="340"/>
      </w:tabs>
      <w:spacing w:before="40" w:after="40"/>
    </w:pPr>
  </w:style>
  <w:style w:type="paragraph" w:customStyle="1" w:styleId="Note">
    <w:name w:val="Note"/>
    <w:basedOn w:val="BodyText"/>
    <w:rsid w:val="007D48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480E"/>
    <w:rPr>
      <w:b/>
      <w:spacing w:val="0"/>
    </w:rPr>
  </w:style>
  <w:style w:type="paragraph" w:customStyle="1" w:styleId="SuperTitle">
    <w:name w:val="SuperTitle"/>
    <w:basedOn w:val="Title"/>
    <w:rsid w:val="007D480E"/>
    <w:pPr>
      <w:framePr w:wrap="auto" w:hAnchor="text" w:y="6049"/>
    </w:pPr>
    <w:rPr>
      <w:color w:val="000000"/>
      <w:sz w:val="40"/>
    </w:rPr>
  </w:style>
  <w:style w:type="paragraph" w:customStyle="1" w:styleId="TOCTitle">
    <w:name w:val="TOCTitle"/>
    <w:basedOn w:val="Heading1"/>
    <w:rsid w:val="007D480E"/>
    <w:pPr>
      <w:spacing w:after="240"/>
      <w:jc w:val="center"/>
      <w:outlineLvl w:val="9"/>
    </w:pPr>
    <w:rPr>
      <w:caps/>
    </w:rPr>
  </w:style>
  <w:style w:type="paragraph" w:customStyle="1" w:styleId="Version">
    <w:name w:val="Version"/>
    <w:rsid w:val="007D48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480E"/>
    <w:pPr>
      <w:numPr>
        <w:numId w:val="11"/>
      </w:numPr>
      <w:tabs>
        <w:tab w:val="clear" w:pos="680"/>
      </w:tabs>
    </w:pPr>
  </w:style>
  <w:style w:type="paragraph" w:styleId="Index1">
    <w:name w:val="index 1"/>
    <w:basedOn w:val="Normal"/>
    <w:next w:val="Normal"/>
    <w:semiHidden/>
    <w:rsid w:val="007D480E"/>
    <w:pPr>
      <w:keepNext w:val="0"/>
      <w:tabs>
        <w:tab w:val="right" w:pos="4176"/>
      </w:tabs>
      <w:ind w:left="198" w:hanging="198"/>
    </w:pPr>
    <w:rPr>
      <w:rFonts w:ascii="Garamond" w:hAnsi="Garamond"/>
    </w:rPr>
  </w:style>
  <w:style w:type="paragraph" w:styleId="IndexHeading">
    <w:name w:val="index heading"/>
    <w:basedOn w:val="Normal"/>
    <w:next w:val="Index1"/>
    <w:semiHidden/>
    <w:rsid w:val="007D480E"/>
    <w:pPr>
      <w:spacing w:before="120" w:after="120"/>
    </w:pPr>
    <w:rPr>
      <w:rFonts w:ascii="Arial" w:hAnsi="Arial"/>
      <w:b/>
      <w:color w:val="918585"/>
      <w:sz w:val="24"/>
    </w:rPr>
  </w:style>
  <w:style w:type="paragraph" w:styleId="Header">
    <w:name w:val="header"/>
    <w:basedOn w:val="Normal"/>
    <w:link w:val="HeaderChar"/>
    <w:rsid w:val="007D48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80E"/>
    <w:rPr>
      <w:rFonts w:ascii="Times New Roman" w:eastAsia="Times New Roman" w:hAnsi="Times New Roman" w:cs="Times New Roman"/>
      <w:sz w:val="16"/>
      <w:szCs w:val="20"/>
      <w:lang w:val="en-GB" w:eastAsia="en-US"/>
    </w:rPr>
  </w:style>
  <w:style w:type="paragraph" w:customStyle="1" w:styleId="Chapter">
    <w:name w:val="Chapter"/>
    <w:basedOn w:val="Normal"/>
    <w:rsid w:val="007D480E"/>
    <w:pPr>
      <w:spacing w:before="240"/>
    </w:pPr>
    <w:rPr>
      <w:rFonts w:ascii="Times New Roman" w:hAnsi="Times New Roman"/>
      <w:smallCaps/>
      <w:spacing w:val="80"/>
      <w:sz w:val="28"/>
    </w:rPr>
  </w:style>
  <w:style w:type="paragraph" w:customStyle="1" w:styleId="InChapter">
    <w:name w:val="InChapter"/>
    <w:basedOn w:val="Heading3"/>
    <w:rsid w:val="007D480E"/>
    <w:pPr>
      <w:spacing w:after="240"/>
      <w:outlineLvl w:val="9"/>
    </w:pPr>
    <w:rPr>
      <w:noProof/>
    </w:rPr>
  </w:style>
  <w:style w:type="paragraph" w:styleId="Index2">
    <w:name w:val="index 2"/>
    <w:basedOn w:val="Normal"/>
    <w:next w:val="Normal"/>
    <w:semiHidden/>
    <w:rsid w:val="007D480E"/>
    <w:pPr>
      <w:tabs>
        <w:tab w:val="right" w:pos="4176"/>
      </w:tabs>
      <w:ind w:left="568" w:hanging="284"/>
    </w:pPr>
    <w:rPr>
      <w:rFonts w:ascii="Garamond" w:hAnsi="Garamond"/>
    </w:rPr>
  </w:style>
  <w:style w:type="paragraph" w:customStyle="1" w:styleId="Byline">
    <w:name w:val="Byline"/>
    <w:rsid w:val="007D48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80E"/>
    <w:pPr>
      <w:tabs>
        <w:tab w:val="clear" w:pos="3600"/>
        <w:tab w:val="clear" w:pos="3958"/>
      </w:tabs>
      <w:jc w:val="right"/>
    </w:pPr>
  </w:style>
  <w:style w:type="character" w:styleId="Emphasis">
    <w:name w:val="Emphasis"/>
    <w:basedOn w:val="DefaultParagraphFont"/>
    <w:qFormat/>
    <w:rsid w:val="007D480E"/>
    <w:rPr>
      <w:i/>
    </w:rPr>
  </w:style>
  <w:style w:type="paragraph" w:styleId="Caption">
    <w:name w:val="caption"/>
    <w:basedOn w:val="BodyText"/>
    <w:next w:val="Normal"/>
    <w:qFormat/>
    <w:rsid w:val="007D480E"/>
    <w:pPr>
      <w:framePr w:w="2268" w:hSpace="181" w:vSpace="181" w:wrap="around" w:vAnchor="text" w:hAnchor="page" w:x="1135" w:y="285" w:anchorLock="1"/>
    </w:pPr>
    <w:rPr>
      <w:i/>
    </w:rPr>
  </w:style>
  <w:style w:type="paragraph" w:customStyle="1" w:styleId="MiniTOCTitle">
    <w:name w:val="MiniTOCTitle"/>
    <w:basedOn w:val="Heading4"/>
    <w:rsid w:val="007D480E"/>
    <w:pPr>
      <w:spacing w:before="240"/>
      <w:outlineLvl w:val="9"/>
    </w:pPr>
    <w:rPr>
      <w:noProof/>
      <w:sz w:val="24"/>
    </w:rPr>
  </w:style>
  <w:style w:type="paragraph" w:customStyle="1" w:styleId="MiniTOCItem">
    <w:name w:val="MiniTOCItem"/>
    <w:basedOn w:val="ListBullet"/>
    <w:rsid w:val="007D480E"/>
    <w:pPr>
      <w:numPr>
        <w:numId w:val="0"/>
      </w:numPr>
      <w:tabs>
        <w:tab w:val="right" w:leader="dot" w:pos="6521"/>
      </w:tabs>
      <w:spacing w:before="0" w:after="0"/>
    </w:pPr>
  </w:style>
  <w:style w:type="paragraph" w:customStyle="1" w:styleId="TOFTitle">
    <w:name w:val="TOFTitle"/>
    <w:basedOn w:val="TOCTitle"/>
    <w:rsid w:val="007D480E"/>
  </w:style>
  <w:style w:type="paragraph" w:styleId="TableofFigures">
    <w:name w:val="table of figures"/>
    <w:basedOn w:val="Normal"/>
    <w:next w:val="Normal"/>
    <w:semiHidden/>
    <w:rsid w:val="007D480E"/>
    <w:pPr>
      <w:tabs>
        <w:tab w:val="right" w:leader="dot" w:pos="9072"/>
      </w:tabs>
      <w:ind w:left="970" w:hanging="403"/>
    </w:pPr>
    <w:rPr>
      <w:rFonts w:ascii="Times New Roman" w:hAnsi="Times New Roman"/>
      <w:b/>
    </w:rPr>
  </w:style>
  <w:style w:type="paragraph" w:styleId="ListNumber">
    <w:name w:val="List Number"/>
    <w:basedOn w:val="List"/>
    <w:rsid w:val="007D480E"/>
    <w:pPr>
      <w:numPr>
        <w:numId w:val="13"/>
      </w:numPr>
      <w:tabs>
        <w:tab w:val="clear" w:pos="340"/>
      </w:tabs>
    </w:pPr>
  </w:style>
  <w:style w:type="character" w:customStyle="1" w:styleId="WingdingSymbols">
    <w:name w:val="Wingding Symbols"/>
    <w:rsid w:val="007D480E"/>
    <w:rPr>
      <w:rFonts w:ascii="Wingdings" w:hAnsi="Wingdings"/>
    </w:rPr>
  </w:style>
  <w:style w:type="paragraph" w:customStyle="1" w:styleId="TableHeading">
    <w:name w:val="Table Heading"/>
    <w:basedOn w:val="HeadingBase"/>
    <w:rsid w:val="007D480E"/>
    <w:pPr>
      <w:keepLines/>
      <w:pBdr>
        <w:bottom w:val="single" w:sz="6" w:space="1" w:color="918585"/>
      </w:pBdr>
      <w:spacing w:before="240"/>
    </w:pPr>
  </w:style>
  <w:style w:type="character" w:customStyle="1" w:styleId="HotSpot">
    <w:name w:val="HotSpot"/>
    <w:rsid w:val="007D480E"/>
    <w:rPr>
      <w:color w:val="0033CC"/>
      <w:u w:val="none"/>
    </w:rPr>
  </w:style>
  <w:style w:type="paragraph" w:customStyle="1" w:styleId="BodyTextRight">
    <w:name w:val="Body Text Right"/>
    <w:basedOn w:val="BodyText"/>
    <w:rsid w:val="007D480E"/>
    <w:pPr>
      <w:spacing w:before="0" w:after="0"/>
      <w:jc w:val="right"/>
    </w:pPr>
  </w:style>
  <w:style w:type="paragraph" w:styleId="Index3">
    <w:name w:val="index 3"/>
    <w:basedOn w:val="ListNumber2"/>
    <w:next w:val="Normal"/>
    <w:semiHidden/>
    <w:rsid w:val="007D480E"/>
    <w:pPr>
      <w:numPr>
        <w:numId w:val="0"/>
      </w:numPr>
      <w:tabs>
        <w:tab w:val="right" w:leader="dot" w:pos="4176"/>
      </w:tabs>
    </w:pPr>
  </w:style>
  <w:style w:type="paragraph" w:styleId="ListNumber2">
    <w:name w:val="List Number 2"/>
    <w:basedOn w:val="List2"/>
    <w:rsid w:val="007D480E"/>
    <w:pPr>
      <w:numPr>
        <w:numId w:val="8"/>
      </w:numPr>
      <w:tabs>
        <w:tab w:val="clear" w:pos="1060"/>
      </w:tabs>
    </w:pPr>
  </w:style>
  <w:style w:type="paragraph" w:customStyle="1" w:styleId="MarginNote">
    <w:name w:val="Margin Note"/>
    <w:basedOn w:val="BodyText"/>
    <w:rsid w:val="007D48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8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8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480E"/>
    <w:rPr>
      <w:sz w:val="32"/>
    </w:rPr>
  </w:style>
  <w:style w:type="paragraph" w:customStyle="1" w:styleId="HeadingProcedure">
    <w:name w:val="Heading Procedure"/>
    <w:basedOn w:val="HeadingBase"/>
    <w:next w:val="Normal"/>
    <w:rsid w:val="007D480E"/>
    <w:pPr>
      <w:tabs>
        <w:tab w:val="left" w:pos="0"/>
      </w:tabs>
      <w:spacing w:before="120" w:after="60"/>
    </w:pPr>
    <w:rPr>
      <w:i/>
      <w:color w:val="918585"/>
      <w:sz w:val="22"/>
    </w:rPr>
  </w:style>
  <w:style w:type="paragraph" w:customStyle="1" w:styleId="TableBodyText">
    <w:name w:val="Table Body Text"/>
    <w:basedOn w:val="BodyText"/>
    <w:rsid w:val="007D480E"/>
    <w:pPr>
      <w:spacing w:before="60" w:after="60"/>
    </w:pPr>
  </w:style>
  <w:style w:type="paragraph" w:styleId="ListContinue">
    <w:name w:val="List Continue"/>
    <w:basedOn w:val="List"/>
    <w:rsid w:val="007D480E"/>
    <w:pPr>
      <w:ind w:firstLine="0"/>
    </w:pPr>
  </w:style>
  <w:style w:type="paragraph" w:customStyle="1" w:styleId="ListNote">
    <w:name w:val="List Note"/>
    <w:basedOn w:val="List"/>
    <w:rsid w:val="007D480E"/>
    <w:pPr>
      <w:pBdr>
        <w:top w:val="single" w:sz="6" w:space="2" w:color="918585"/>
        <w:bottom w:val="single" w:sz="6" w:space="2" w:color="918585"/>
      </w:pBdr>
      <w:tabs>
        <w:tab w:val="left" w:pos="1021"/>
      </w:tabs>
      <w:ind w:firstLine="0"/>
    </w:pPr>
  </w:style>
  <w:style w:type="paragraph" w:customStyle="1" w:styleId="Warning">
    <w:name w:val="Warning"/>
    <w:basedOn w:val="BodyText"/>
    <w:rsid w:val="007D480E"/>
    <w:pPr>
      <w:shd w:val="clear" w:color="auto" w:fill="D9D9D9"/>
      <w:tabs>
        <w:tab w:val="left" w:pos="992"/>
      </w:tabs>
      <w:ind w:left="119" w:right="119"/>
    </w:pPr>
    <w:rPr>
      <w:sz w:val="20"/>
    </w:rPr>
  </w:style>
  <w:style w:type="paragraph" w:customStyle="1" w:styleId="MarginIcons">
    <w:name w:val="Margin Icons"/>
    <w:basedOn w:val="BodyText"/>
    <w:rsid w:val="007D48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80E"/>
    <w:rPr>
      <w:rFonts w:ascii="Courier New" w:hAnsi="Courier New"/>
    </w:rPr>
  </w:style>
  <w:style w:type="paragraph" w:customStyle="1" w:styleId="NoteBullet">
    <w:name w:val="Note Bullet"/>
    <w:basedOn w:val="Note"/>
    <w:rsid w:val="007D480E"/>
    <w:pPr>
      <w:tabs>
        <w:tab w:val="clear" w:pos="680"/>
      </w:tabs>
      <w:spacing w:before="60" w:after="60"/>
    </w:pPr>
  </w:style>
  <w:style w:type="paragraph" w:customStyle="1" w:styleId="SubHeading2">
    <w:name w:val="SubHeading2"/>
    <w:basedOn w:val="HeadingBase"/>
    <w:rsid w:val="007D480E"/>
    <w:pPr>
      <w:spacing w:before="240" w:after="60"/>
    </w:pPr>
    <w:rPr>
      <w:sz w:val="20"/>
    </w:rPr>
  </w:style>
  <w:style w:type="paragraph" w:customStyle="1" w:styleId="SubHeading1">
    <w:name w:val="SubHeading1"/>
    <w:basedOn w:val="HeadingBase"/>
    <w:rsid w:val="007D480E"/>
    <w:pPr>
      <w:spacing w:before="240" w:after="60"/>
    </w:pPr>
    <w:rPr>
      <w:color w:val="918585"/>
      <w:sz w:val="22"/>
    </w:rPr>
  </w:style>
  <w:style w:type="paragraph" w:customStyle="1" w:styleId="SideHeading">
    <w:name w:val="Side Heading"/>
    <w:basedOn w:val="HeadingBase"/>
    <w:rsid w:val="007D48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80E"/>
    <w:pPr>
      <w:numPr>
        <w:numId w:val="9"/>
      </w:numPr>
    </w:pPr>
  </w:style>
  <w:style w:type="paragraph" w:styleId="PlainText">
    <w:name w:val="Plain Text"/>
    <w:basedOn w:val="Normal"/>
    <w:link w:val="PlainTextChar"/>
    <w:rsid w:val="007D480E"/>
    <w:rPr>
      <w:sz w:val="20"/>
    </w:rPr>
  </w:style>
  <w:style w:type="character" w:customStyle="1" w:styleId="PlainTextChar">
    <w:name w:val="Plain Text Char"/>
    <w:basedOn w:val="DefaultParagraphFont"/>
    <w:link w:val="PlainText"/>
    <w:rsid w:val="007D480E"/>
    <w:rPr>
      <w:rFonts w:ascii="Courier New" w:eastAsia="Times New Roman" w:hAnsi="Courier New" w:cs="Times New Roman"/>
      <w:sz w:val="20"/>
      <w:szCs w:val="20"/>
      <w:lang w:eastAsia="en-US"/>
    </w:rPr>
  </w:style>
  <w:style w:type="character" w:customStyle="1" w:styleId="MenuOption">
    <w:name w:val="Menu Option"/>
    <w:basedOn w:val="DefaultParagraphFont"/>
    <w:rsid w:val="007D480E"/>
    <w:rPr>
      <w:b/>
      <w:smallCaps/>
    </w:rPr>
  </w:style>
  <w:style w:type="paragraph" w:customStyle="1" w:styleId="TableListNumber">
    <w:name w:val="Table List Number"/>
    <w:basedOn w:val="ListNumber"/>
    <w:rsid w:val="007D480E"/>
    <w:pPr>
      <w:numPr>
        <w:numId w:val="0"/>
      </w:numPr>
    </w:pPr>
  </w:style>
  <w:style w:type="paragraph" w:styleId="TOC4">
    <w:name w:val="toc 4"/>
    <w:basedOn w:val="TOCBase"/>
    <w:next w:val="Normal"/>
    <w:semiHidden/>
    <w:rsid w:val="007D480E"/>
    <w:pPr>
      <w:tabs>
        <w:tab w:val="right" w:leader="dot" w:pos="9071"/>
      </w:tabs>
      <w:ind w:left="1701"/>
    </w:pPr>
  </w:style>
  <w:style w:type="paragraph" w:customStyle="1" w:styleId="ListAlpha">
    <w:name w:val="List Alpha"/>
    <w:basedOn w:val="List"/>
    <w:rsid w:val="007D480E"/>
    <w:pPr>
      <w:numPr>
        <w:numId w:val="7"/>
      </w:numPr>
    </w:pPr>
  </w:style>
  <w:style w:type="paragraph" w:customStyle="1" w:styleId="ListAlpha2">
    <w:name w:val="List Alpha 2"/>
    <w:basedOn w:val="List2"/>
    <w:rsid w:val="007D480E"/>
    <w:pPr>
      <w:numPr>
        <w:numId w:val="6"/>
      </w:numPr>
    </w:pPr>
  </w:style>
  <w:style w:type="paragraph" w:styleId="List2">
    <w:name w:val="List 2"/>
    <w:basedOn w:val="BodyText"/>
    <w:rsid w:val="007D480E"/>
    <w:pPr>
      <w:tabs>
        <w:tab w:val="left" w:pos="680"/>
      </w:tabs>
      <w:spacing w:before="60" w:after="60"/>
      <w:ind w:left="680" w:hanging="340"/>
    </w:pPr>
  </w:style>
  <w:style w:type="paragraph" w:styleId="List3">
    <w:name w:val="List 3"/>
    <w:basedOn w:val="BodyText"/>
    <w:rsid w:val="007D480E"/>
    <w:pPr>
      <w:tabs>
        <w:tab w:val="left" w:pos="1021"/>
      </w:tabs>
      <w:spacing w:before="60" w:after="60"/>
      <w:ind w:left="1020" w:hanging="340"/>
    </w:pPr>
  </w:style>
  <w:style w:type="paragraph" w:styleId="List4">
    <w:name w:val="List 4"/>
    <w:basedOn w:val="BodyText"/>
    <w:rsid w:val="007D480E"/>
    <w:pPr>
      <w:tabs>
        <w:tab w:val="left" w:pos="1361"/>
      </w:tabs>
      <w:spacing w:before="60" w:after="60"/>
      <w:ind w:left="1361" w:hanging="340"/>
    </w:pPr>
  </w:style>
  <w:style w:type="paragraph" w:styleId="List5">
    <w:name w:val="List 5"/>
    <w:basedOn w:val="BodyText"/>
    <w:rsid w:val="007D480E"/>
    <w:pPr>
      <w:tabs>
        <w:tab w:val="left" w:pos="1701"/>
      </w:tabs>
      <w:spacing w:before="60" w:after="60"/>
      <w:ind w:left="1701" w:hanging="340"/>
    </w:pPr>
  </w:style>
  <w:style w:type="paragraph" w:styleId="ListBullet3">
    <w:name w:val="List Bullet 3"/>
    <w:basedOn w:val="List3"/>
    <w:rsid w:val="007D480E"/>
    <w:pPr>
      <w:numPr>
        <w:numId w:val="12"/>
      </w:numPr>
      <w:tabs>
        <w:tab w:val="clear" w:pos="1021"/>
      </w:tabs>
      <w:ind w:left="1037" w:hanging="357"/>
    </w:pPr>
  </w:style>
  <w:style w:type="paragraph" w:styleId="ListBullet4">
    <w:name w:val="List Bullet 4"/>
    <w:basedOn w:val="List4"/>
    <w:rsid w:val="007D480E"/>
    <w:pPr>
      <w:numPr>
        <w:numId w:val="1"/>
      </w:numPr>
      <w:tabs>
        <w:tab w:val="clear" w:pos="1361"/>
      </w:tabs>
    </w:pPr>
  </w:style>
  <w:style w:type="paragraph" w:styleId="ListBullet5">
    <w:name w:val="List Bullet 5"/>
    <w:basedOn w:val="List5"/>
    <w:rsid w:val="007D480E"/>
    <w:pPr>
      <w:numPr>
        <w:numId w:val="2"/>
      </w:numPr>
    </w:pPr>
  </w:style>
  <w:style w:type="paragraph" w:styleId="ListContinue2">
    <w:name w:val="List Continue 2"/>
    <w:basedOn w:val="List2"/>
    <w:rsid w:val="007D480E"/>
    <w:pPr>
      <w:ind w:firstLine="0"/>
    </w:pPr>
  </w:style>
  <w:style w:type="paragraph" w:styleId="ListContinue3">
    <w:name w:val="List Continue 3"/>
    <w:basedOn w:val="List3"/>
    <w:rsid w:val="007D480E"/>
    <w:pPr>
      <w:ind w:left="1021" w:firstLine="0"/>
    </w:pPr>
  </w:style>
  <w:style w:type="paragraph" w:styleId="ListContinue4">
    <w:name w:val="List Continue 4"/>
    <w:basedOn w:val="List4"/>
    <w:rsid w:val="007D480E"/>
    <w:pPr>
      <w:ind w:firstLine="0"/>
    </w:pPr>
  </w:style>
  <w:style w:type="paragraph" w:styleId="ListContinue5">
    <w:name w:val="List Continue 5"/>
    <w:basedOn w:val="List5"/>
    <w:rsid w:val="007D480E"/>
    <w:pPr>
      <w:ind w:firstLine="0"/>
    </w:pPr>
  </w:style>
  <w:style w:type="paragraph" w:styleId="ListNumber3">
    <w:name w:val="List Number 3"/>
    <w:basedOn w:val="List3"/>
    <w:rsid w:val="007D480E"/>
    <w:pPr>
      <w:numPr>
        <w:numId w:val="3"/>
      </w:numPr>
    </w:pPr>
  </w:style>
  <w:style w:type="paragraph" w:styleId="ListNumber4">
    <w:name w:val="List Number 4"/>
    <w:basedOn w:val="List4"/>
    <w:rsid w:val="007D480E"/>
    <w:pPr>
      <w:numPr>
        <w:numId w:val="4"/>
      </w:numPr>
    </w:pPr>
  </w:style>
  <w:style w:type="paragraph" w:styleId="ListNumber5">
    <w:name w:val="List Number 5"/>
    <w:basedOn w:val="List5"/>
    <w:rsid w:val="007D480E"/>
    <w:pPr>
      <w:numPr>
        <w:numId w:val="5"/>
      </w:numPr>
    </w:pPr>
  </w:style>
  <w:style w:type="paragraph" w:styleId="BlockText">
    <w:name w:val="Block Text"/>
    <w:basedOn w:val="Normal"/>
    <w:rsid w:val="007D480E"/>
    <w:pPr>
      <w:spacing w:after="120"/>
      <w:ind w:left="1440" w:right="1440"/>
    </w:pPr>
  </w:style>
  <w:style w:type="character" w:customStyle="1" w:styleId="Subscript">
    <w:name w:val="Subscript"/>
    <w:basedOn w:val="DefaultParagraphFont"/>
    <w:rsid w:val="007D480E"/>
    <w:rPr>
      <w:sz w:val="16"/>
      <w:vertAlign w:val="subscript"/>
    </w:rPr>
  </w:style>
  <w:style w:type="character" w:customStyle="1" w:styleId="Superscript">
    <w:name w:val="Superscript"/>
    <w:basedOn w:val="DefaultParagraphFont"/>
    <w:rsid w:val="007D480E"/>
    <w:rPr>
      <w:sz w:val="16"/>
      <w:vertAlign w:val="superscript"/>
    </w:rPr>
  </w:style>
  <w:style w:type="character" w:customStyle="1" w:styleId="Symbols">
    <w:name w:val="Symbols"/>
    <w:basedOn w:val="DefaultParagraphFont"/>
    <w:rsid w:val="007D480E"/>
    <w:rPr>
      <w:rFonts w:ascii="Symbol" w:hAnsi="Symbol"/>
    </w:rPr>
  </w:style>
  <w:style w:type="character" w:customStyle="1" w:styleId="MenuOptions">
    <w:name w:val="Menu Options"/>
    <w:basedOn w:val="DefaultParagraphFont"/>
    <w:rsid w:val="007D480E"/>
    <w:rPr>
      <w:rFonts w:ascii="Arial Narrow" w:hAnsi="Arial Narrow"/>
      <w:smallCaps/>
    </w:rPr>
  </w:style>
  <w:style w:type="character" w:customStyle="1" w:styleId="Buttons">
    <w:name w:val="Buttons"/>
    <w:basedOn w:val="DefaultParagraphFont"/>
    <w:rsid w:val="007D480E"/>
    <w:rPr>
      <w:b/>
    </w:rPr>
  </w:style>
  <w:style w:type="character" w:customStyle="1" w:styleId="Underlined">
    <w:name w:val="Underlined"/>
    <w:basedOn w:val="DefaultParagraphFont"/>
    <w:rsid w:val="007D480E"/>
    <w:rPr>
      <w:u w:val="single"/>
    </w:rPr>
  </w:style>
  <w:style w:type="paragraph" w:customStyle="1" w:styleId="TableBodyTextRight">
    <w:name w:val="Table Body Text Right"/>
    <w:basedOn w:val="TableBodyText"/>
    <w:rsid w:val="007D480E"/>
    <w:pPr>
      <w:widowControl w:val="0"/>
      <w:autoSpaceDE w:val="0"/>
      <w:autoSpaceDN w:val="0"/>
      <w:adjustRightInd w:val="0"/>
      <w:jc w:val="right"/>
    </w:pPr>
    <w:rPr>
      <w:rFonts w:cs="Arial"/>
      <w:szCs w:val="18"/>
    </w:rPr>
  </w:style>
  <w:style w:type="paragraph" w:customStyle="1" w:styleId="CopyrightText">
    <w:name w:val="Copyright Text"/>
    <w:basedOn w:val="BodyText"/>
    <w:rsid w:val="007D480E"/>
    <w:rPr>
      <w:sz w:val="18"/>
    </w:rPr>
  </w:style>
  <w:style w:type="paragraph" w:customStyle="1" w:styleId="BodySmallRight">
    <w:name w:val="Body Small Right"/>
    <w:basedOn w:val="BodyTextRight"/>
    <w:rsid w:val="007D480E"/>
    <w:rPr>
      <w:sz w:val="18"/>
      <w:szCs w:val="18"/>
    </w:rPr>
  </w:style>
  <w:style w:type="paragraph" w:customStyle="1" w:styleId="MarginEdition">
    <w:name w:val="Margin Edition"/>
    <w:basedOn w:val="MarginNote"/>
    <w:rsid w:val="007D480E"/>
    <w:pPr>
      <w:spacing w:before="0" w:after="0"/>
    </w:pPr>
    <w:rPr>
      <w:rFonts w:ascii="Times New Roman" w:hAnsi="Times New Roman"/>
      <w:color w:val="999999"/>
    </w:rPr>
  </w:style>
  <w:style w:type="paragraph" w:customStyle="1" w:styleId="Spacer">
    <w:name w:val="Spacer"/>
    <w:basedOn w:val="Normal"/>
    <w:rsid w:val="007D480E"/>
    <w:rPr>
      <w:sz w:val="2"/>
      <w:szCs w:val="2"/>
    </w:rPr>
  </w:style>
  <w:style w:type="character" w:customStyle="1" w:styleId="Small">
    <w:name w:val="Small"/>
    <w:basedOn w:val="DefaultParagraphFont"/>
    <w:rsid w:val="007D480E"/>
    <w:rPr>
      <w:sz w:val="16"/>
    </w:rPr>
  </w:style>
  <w:style w:type="paragraph" w:customStyle="1" w:styleId="WideTable">
    <w:name w:val="Wide Table"/>
    <w:basedOn w:val="Normal"/>
    <w:rsid w:val="007D480E"/>
    <w:pPr>
      <w:ind w:left="-1418"/>
    </w:pPr>
    <w:rPr>
      <w:sz w:val="2"/>
      <w:szCs w:val="2"/>
    </w:rPr>
  </w:style>
  <w:style w:type="character" w:styleId="PageNumber">
    <w:name w:val="page number"/>
    <w:basedOn w:val="DefaultParagraphFont"/>
    <w:rsid w:val="007D480E"/>
  </w:style>
  <w:style w:type="paragraph" w:styleId="Quote">
    <w:name w:val="Quote"/>
    <w:basedOn w:val="Heading1"/>
    <w:link w:val="QuoteChar"/>
    <w:qFormat/>
    <w:rsid w:val="007D480E"/>
    <w:rPr>
      <w:b w:val="0"/>
      <w:sz w:val="72"/>
      <w:szCs w:val="72"/>
      <w:lang w:val="en-NZ"/>
    </w:rPr>
  </w:style>
  <w:style w:type="character" w:customStyle="1" w:styleId="QuoteChar">
    <w:name w:val="Quote Char"/>
    <w:basedOn w:val="DefaultParagraphFont"/>
    <w:link w:val="Quote"/>
    <w:rsid w:val="007D48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80E"/>
    <w:pPr>
      <w:pageBreakBefore/>
    </w:pPr>
  </w:style>
  <w:style w:type="paragraph" w:customStyle="1" w:styleId="Border">
    <w:name w:val="Border"/>
    <w:basedOn w:val="Normal"/>
    <w:qFormat/>
    <w:rsid w:val="007D48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80E"/>
    <w:rPr>
      <w:b/>
      <w:bCs/>
      <w:i/>
      <w:iCs/>
      <w:color w:val="auto"/>
    </w:rPr>
  </w:style>
  <w:style w:type="paragraph" w:styleId="IntenseQuote">
    <w:name w:val="Intense Quote"/>
    <w:basedOn w:val="Normal"/>
    <w:next w:val="Normal"/>
    <w:link w:val="IntenseQuoteChar"/>
    <w:uiPriority w:val="30"/>
    <w:qFormat/>
    <w:rsid w:val="007D48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8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480E"/>
    <w:rPr>
      <w:smallCaps/>
      <w:color w:val="auto"/>
      <w:u w:val="single"/>
    </w:rPr>
  </w:style>
  <w:style w:type="character" w:styleId="IntenseReference">
    <w:name w:val="Intense Reference"/>
    <w:basedOn w:val="DefaultParagraphFont"/>
    <w:uiPriority w:val="32"/>
    <w:qFormat/>
    <w:rsid w:val="007D480E"/>
    <w:rPr>
      <w:b/>
      <w:bCs/>
      <w:smallCaps/>
      <w:color w:val="auto"/>
      <w:spacing w:val="5"/>
      <w:u w:val="single"/>
    </w:rPr>
  </w:style>
  <w:style w:type="paragraph" w:customStyle="1" w:styleId="2ColumnHeading">
    <w:name w:val="2Column Heading"/>
    <w:basedOn w:val="BodyText"/>
    <w:qFormat/>
    <w:rsid w:val="007D480E"/>
    <w:pPr>
      <w:spacing w:after="60"/>
      <w:ind w:left="-2268"/>
    </w:pPr>
    <w:rPr>
      <w:b/>
    </w:rPr>
  </w:style>
  <w:style w:type="paragraph" w:customStyle="1" w:styleId="Heading1TOC">
    <w:name w:val="Heading1 TOC"/>
    <w:basedOn w:val="Normal"/>
    <w:qFormat/>
    <w:rsid w:val="007D480E"/>
    <w:pPr>
      <w:spacing w:before="240" w:after="120"/>
    </w:pPr>
    <w:rPr>
      <w:rFonts w:ascii="Times New Roman" w:hAnsi="Times New Roman"/>
      <w:b/>
      <w:sz w:val="32"/>
    </w:rPr>
  </w:style>
  <w:style w:type="paragraph" w:customStyle="1" w:styleId="Heading2TOC">
    <w:name w:val="Heading2 TOC"/>
    <w:basedOn w:val="Normal"/>
    <w:qFormat/>
    <w:rsid w:val="007D480E"/>
    <w:pPr>
      <w:spacing w:before="240" w:after="60"/>
    </w:pPr>
    <w:rPr>
      <w:rFonts w:ascii="Times New Roman" w:hAnsi="Times New Roman"/>
      <w:b/>
      <w:sz w:val="28"/>
    </w:rPr>
  </w:style>
  <w:style w:type="character" w:customStyle="1" w:styleId="Underline">
    <w:name w:val="Underline"/>
    <w:basedOn w:val="DefaultParagraphFont"/>
    <w:qFormat/>
    <w:rsid w:val="007D480E"/>
    <w:rPr>
      <w:u w:val="single"/>
    </w:rPr>
  </w:style>
  <w:style w:type="character" w:customStyle="1" w:styleId="BoldandItalics">
    <w:name w:val="Bold and Italics"/>
    <w:qFormat/>
    <w:rsid w:val="007D480E"/>
    <w:rPr>
      <w:b/>
      <w:i/>
      <w:u w:val="none"/>
    </w:rPr>
  </w:style>
  <w:style w:type="paragraph" w:styleId="BalloonText">
    <w:name w:val="Balloon Text"/>
    <w:basedOn w:val="Normal"/>
    <w:link w:val="BalloonTextChar"/>
    <w:rsid w:val="007D480E"/>
    <w:rPr>
      <w:rFonts w:ascii="Tahoma" w:hAnsi="Tahoma" w:cs="Tahoma"/>
      <w:sz w:val="16"/>
      <w:szCs w:val="16"/>
    </w:rPr>
  </w:style>
  <w:style w:type="character" w:customStyle="1" w:styleId="BalloonTextChar">
    <w:name w:val="Balloon Text Char"/>
    <w:basedOn w:val="DefaultParagraphFont"/>
    <w:link w:val="BalloonText"/>
    <w:rsid w:val="007D48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48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48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480E"/>
    <w:rPr>
      <w:b/>
      <w:color w:val="660033"/>
      <w:spacing w:val="0"/>
    </w:rPr>
  </w:style>
  <w:style w:type="paragraph" w:customStyle="1" w:styleId="Nameditemlist">
    <w:name w:val="Named item list"/>
    <w:basedOn w:val="BodyText"/>
    <w:qFormat/>
    <w:rsid w:val="007D480E"/>
    <w:pPr>
      <w:tabs>
        <w:tab w:val="left" w:pos="2835"/>
      </w:tabs>
      <w:ind w:left="2835" w:hanging="2835"/>
    </w:pPr>
  </w:style>
  <w:style w:type="paragraph" w:customStyle="1" w:styleId="BodyTextnopadding">
    <w:name w:val="Body Text no padding"/>
    <w:basedOn w:val="BodyText"/>
    <w:qFormat/>
    <w:rsid w:val="007D480E"/>
    <w:pPr>
      <w:spacing w:before="0" w:after="0"/>
    </w:pPr>
  </w:style>
  <w:style w:type="paragraph" w:customStyle="1" w:styleId="BodyTextBold">
    <w:name w:val="Body Text Bold"/>
    <w:basedOn w:val="BodyText"/>
    <w:qFormat/>
    <w:rsid w:val="007D480E"/>
    <w:rPr>
      <w:b/>
    </w:rPr>
  </w:style>
  <w:style w:type="character" w:styleId="Hyperlink">
    <w:name w:val="Hyperlink"/>
    <w:basedOn w:val="DefaultParagraphFont"/>
    <w:uiPriority w:val="99"/>
    <w:unhideWhenUsed/>
    <w:rsid w:val="00ED1D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4980</Characters>
  <Application>Microsoft Office Word</Application>
  <DocSecurity>0</DocSecurity>
  <Lines>237</Lines>
  <Paragraphs>113</Paragraphs>
  <ScaleCrop>false</ScaleCrop>
  <Company>Author-it Software Corporation Ltd.</Company>
  <LinksUpToDate>false</LinksUpToDate>
  <CharactersWithSpaces>5651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CPPFES2050 Monitor storage operations for scheduled gaseous fire-extinguishing agents</dc:title>
  <dc:subject>Approved</dc:subject>
  <dc:creator>Artibus Innovation</dc:creator>
  <cp:keywords>Release: 1</cp:keywords>
  <dc:description>Review Date: 12 April 2008</dc:description>
  <cp:lastModifiedBy>HSD_TPCMSd.prod</cp:lastModifiedBy>
  <cp:revision>3</cp:revision>
  <dcterms:created xsi:type="dcterms:W3CDTF">2022-12-19T06:19:00Z</dcterms:created>
  <dcterms:modified xsi:type="dcterms:W3CDTF">2022-12-19T06:19:00Z</dcterms:modified>
</cp:coreProperties>
</file>