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50E01" w:rsidP="00450E01">
      <w:pPr>
        <w:pStyle w:val="Title"/>
      </w:pPr>
      <w:r>
        <w:fldChar w:fldCharType="begin"/>
      </w:r>
      <w:r>
        <w:instrText xml:space="preserve"> TITLE   \* MERGEFORMAT </w:instrText>
      </w:r>
      <w:r>
        <w:fldChar w:fldCharType="separate"/>
      </w:r>
      <w:r>
        <w:t>CPPFES2050 Monitor storage operations for scheduled gaseous fire-extinguishing agents</w:t>
      </w:r>
      <w:r>
        <w:fldChar w:fldCharType="end"/>
      </w:r>
    </w:p>
    <w:p w:rsidR="00450E01" w:rsidP="00450E01">
      <w:pPr>
        <w:pStyle w:val="Version"/>
        <w:sectPr w:rsidSect="00ED69A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D69AD" w:rsidP="00ED69AD">
      <w:pPr>
        <w:pStyle w:val="SuperHeading"/>
      </w:pPr>
      <w:r w:rsidRPr="00ED69AD">
        <w:t>CPPFES2050 Monitor storage operations for scheduled gaseous fire-extinguishing agents</w:t>
      </w:r>
    </w:p>
    <w:p w:rsidR="00000000" w:rsidRPr="00ED69AD" w:rsidP="00ED69AD">
      <w:pPr>
        <w:pStyle w:val="Heading1"/>
      </w:pPr>
      <w:bookmarkStart w:id="1" w:name="O_1163659"/>
      <w:bookmarkEnd w:id="1"/>
      <w:r w:rsidRPr="00ED69AD">
        <w:t>Modification History</w:t>
      </w:r>
    </w:p>
    <w:tbl>
      <w:tblPr>
        <w:tblW w:w="0" w:type="auto"/>
        <w:tblLayout w:type="fixed"/>
        <w:tblCellMar>
          <w:left w:w="62" w:type="dxa"/>
          <w:right w:w="62" w:type="dxa"/>
        </w:tblCellMar>
        <w:tblLook w:val="0000"/>
      </w:tblPr>
      <w:tblGrid>
        <w:gridCol w:w="1305"/>
        <w:gridCol w:w="7597"/>
      </w:tblGrid>
      <w:tr w:rsidTr="00ED69AD">
        <w:tblPrEx>
          <w:tblW w:w="0" w:type="auto"/>
          <w:tblLayout w:type="fixed"/>
          <w:tblCellMar>
            <w:left w:w="62" w:type="dxa"/>
            <w:right w:w="62" w:type="dxa"/>
          </w:tblCellMar>
          <w:tblLook w:val="0000"/>
        </w:tblPrEx>
        <w:tc>
          <w:tcPr>
            <w:tcW w:w="1305" w:type="dxa"/>
            <w:tcBorders>
              <w:top w:val="nil"/>
              <w:left w:val="nil"/>
              <w:bottom w:val="nil"/>
              <w:right w:val="nil"/>
            </w:tcBorders>
            <w:tcMar>
              <w:top w:w="0" w:type="dxa"/>
              <w:left w:w="62" w:type="dxa"/>
              <w:bottom w:w="0" w:type="dxa"/>
              <w:right w:w="62" w:type="dxa"/>
            </w:tcMar>
          </w:tcPr>
          <w:p w:rsidR="00000000" w:rsidP="00ED69AD">
            <w:pPr>
              <w:pStyle w:val="BodyText"/>
              <w:rPr>
                <w:lang w:val="en-NZ"/>
              </w:rPr>
            </w:pPr>
            <w:r w:rsidRPr="00ED69AD">
              <w:t>Release 1</w:t>
            </w:r>
          </w:p>
        </w:tc>
        <w:tc>
          <w:tcPr>
            <w:tcW w:w="7597" w:type="dxa"/>
            <w:tcBorders>
              <w:top w:val="nil"/>
              <w:left w:val="nil"/>
              <w:bottom w:val="nil"/>
              <w:right w:val="nil"/>
            </w:tcBorders>
            <w:tcMar>
              <w:top w:w="0" w:type="dxa"/>
              <w:left w:w="62" w:type="dxa"/>
              <w:bottom w:w="0" w:type="dxa"/>
              <w:right w:w="62" w:type="dxa"/>
            </w:tcMar>
          </w:tcPr>
          <w:p w:rsidR="00000000" w:rsidRPr="00ED69AD" w:rsidP="00ED69AD">
            <w:pPr>
              <w:pStyle w:val="BodyText"/>
            </w:pPr>
            <w:r w:rsidRPr="00ED69AD">
              <w:t>This version first released with CPP Property Services Training Package Release 13.0.</w:t>
            </w:r>
          </w:p>
          <w:p w:rsidR="00000000" w:rsidRPr="00ED69AD" w:rsidP="00ED69AD">
            <w:pPr>
              <w:pStyle w:val="BodyText"/>
            </w:pPr>
            <w:r w:rsidRPr="00ED69AD">
              <w:t>Supersedes and is equivalent to CPPFES2050A Monitor storage operations for scheduled gaseous fire-extinguishing agents.  Unit updated to meet the Standards for Training Packages 2012.</w:t>
            </w:r>
          </w:p>
        </w:tc>
      </w:tr>
    </w:tbl>
    <w:p w:rsidR="00000000" w:rsidRPr="00ED69AD" w:rsidP="00ED69AD">
      <w:pPr>
        <w:pStyle w:val="BodyText"/>
      </w:pPr>
    </w:p>
    <w:p w:rsidR="00000000" w:rsidRPr="00ED69AD" w:rsidP="00ED69AD">
      <w:pPr>
        <w:pStyle w:val="AllowPageBreak"/>
      </w:pPr>
    </w:p>
    <w:p w:rsidR="00000000" w:rsidRPr="00ED69AD" w:rsidP="00ED69AD">
      <w:pPr>
        <w:pStyle w:val="Heading1"/>
      </w:pPr>
      <w:bookmarkStart w:id="2" w:name="O_1163665"/>
      <w:bookmarkEnd w:id="2"/>
      <w:r w:rsidRPr="00ED69AD">
        <w:t>Application</w:t>
      </w:r>
    </w:p>
    <w:p w:rsidR="00000000" w:rsidRPr="00ED69AD" w:rsidP="00450E01">
      <w:pPr>
        <w:pStyle w:val="BodyText"/>
      </w:pPr>
      <w:r w:rsidRPr="00ED69AD">
        <w:t>This unit of competency specifies the s</w:t>
      </w:r>
      <w:r w:rsidRPr="00ED69AD">
        <w:t xml:space="preserve">kills and knowledge required to monitor container storage areas for ozone depleting substances (ODS) and synthetic greenhouse gases (SGG) to identify and control minor hazards and security incidents. </w:t>
      </w:r>
    </w:p>
    <w:p w:rsidR="00000000" w:rsidRPr="00ED69AD" w:rsidP="00450E01">
      <w:pPr>
        <w:pStyle w:val="BodyText"/>
      </w:pPr>
      <w:r w:rsidRPr="00ED69AD">
        <w:t>The unit does not include control of significant incide</w:t>
      </w:r>
      <w:r w:rsidRPr="00ED69AD">
        <w:t>nts which are either part of emergency response competencies or the role of management personnel.</w:t>
      </w:r>
    </w:p>
    <w:p w:rsidR="00000000" w:rsidRPr="00ED69AD" w:rsidP="00450E01">
      <w:pPr>
        <w:pStyle w:val="BodyText"/>
      </w:pPr>
      <w:r w:rsidRPr="00ED69AD">
        <w:t>The unit is suitable for those with basic skills and knowledge undertaking routine work tasks under the direction of more experienced workers.</w:t>
      </w:r>
    </w:p>
    <w:p w:rsidR="00000000" w:rsidRPr="00ED69AD" w:rsidP="00450E01">
      <w:pPr>
        <w:pStyle w:val="BodyText"/>
      </w:pPr>
      <w:r w:rsidRPr="00ED69AD">
        <w:t>ODS and SGG are</w:t>
      </w:r>
      <w:r w:rsidRPr="00ED69AD">
        <w:t xml:space="preserve"> gaseous fire-extinguishing agents listed in Schedule 1 of the Ozone Protection and Synthetic Greenhouse Gas Management Act 1989 and by law, can only be handled by people who hold an appropriate extinguishing agent handling licence (EAHL). This unit suppor</w:t>
      </w:r>
      <w:r w:rsidRPr="00ED69AD">
        <w:t>ts one or more EAHLs prescribed under the Act. For further information, check with the relevant regulatory authority.</w:t>
      </w:r>
    </w:p>
    <w:p w:rsidR="00000000" w:rsidRPr="00ED69AD" w:rsidP="00ED69AD">
      <w:pPr>
        <w:pStyle w:val="Heading1"/>
      </w:pPr>
      <w:bookmarkStart w:id="3" w:name="O_1163664"/>
      <w:bookmarkEnd w:id="3"/>
      <w:r w:rsidRPr="00ED69AD">
        <w:t>Pre-requisite Unit</w:t>
      </w:r>
    </w:p>
    <w:p w:rsidR="00000000" w:rsidRPr="00ED69AD" w:rsidP="00450E01">
      <w:pPr>
        <w:pStyle w:val="BodyText"/>
      </w:pPr>
      <w:r w:rsidRPr="00ED69AD">
        <w:t>Nil.</w:t>
      </w:r>
    </w:p>
    <w:p w:rsidR="00000000" w:rsidRPr="00ED69AD" w:rsidP="00ED69AD">
      <w:pPr>
        <w:pStyle w:val="Heading1"/>
      </w:pPr>
      <w:bookmarkStart w:id="4" w:name="O_1163663"/>
      <w:bookmarkEnd w:id="4"/>
      <w:r w:rsidRPr="00ED69AD">
        <w:t>Unit Sector</w:t>
      </w:r>
    </w:p>
    <w:p w:rsidR="00000000" w:rsidRPr="00ED69AD" w:rsidP="00450E01">
      <w:pPr>
        <w:pStyle w:val="BodyText"/>
      </w:pPr>
      <w:r w:rsidRPr="00ED69AD">
        <w:t>Fire Protection Inspection and Testing</w:t>
      </w:r>
    </w:p>
    <w:p w:rsidR="00000000" w:rsidRPr="00ED69AD" w:rsidP="00ED69AD">
      <w:pPr>
        <w:pStyle w:val="Heading1"/>
      </w:pPr>
      <w:bookmarkStart w:id="5" w:name="O_1163662"/>
      <w:bookmarkEnd w:id="5"/>
      <w:r w:rsidRPr="00ED69AD">
        <w:t>Elemen</w:t>
      </w:r>
      <w:r w:rsidRPr="00ED69AD">
        <w:t>ts and Performance Criteria</w:t>
      </w:r>
    </w:p>
    <w:tbl>
      <w:tblPr>
        <w:tblW w:w="0" w:type="auto"/>
        <w:tblLayout w:type="fixed"/>
        <w:tblCellMar>
          <w:left w:w="62" w:type="dxa"/>
          <w:right w:w="62" w:type="dxa"/>
        </w:tblCellMar>
        <w:tblLook w:val="0000"/>
      </w:tblPr>
      <w:tblGrid>
        <w:gridCol w:w="313"/>
        <w:gridCol w:w="2357"/>
        <w:gridCol w:w="804"/>
        <w:gridCol w:w="5659"/>
      </w:tblGrid>
      <w:tr w:rsidTr="00ED69AD">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ED69AD">
            <w:pPr>
              <w:pStyle w:val="BodyText"/>
              <w:rPr>
                <w:lang w:val="en-NZ"/>
              </w:rPr>
            </w:pPr>
            <w:r w:rsidRPr="00ED69AD">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ED69AD">
            <w:pPr>
              <w:pStyle w:val="BodyText"/>
              <w:rPr>
                <w:lang w:val="en-NZ"/>
              </w:rPr>
            </w:pPr>
            <w:r w:rsidRPr="00ED69AD">
              <w:t>Performance criteria describe what needs to be done to demonstrate achievement of the element.</w:t>
            </w:r>
          </w:p>
        </w:tc>
      </w:tr>
      <w:tr w:rsidTr="00ED69AD">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ED69AD">
            <w:pPr>
              <w:pStyle w:val="BodyText"/>
              <w:rPr>
                <w:lang w:val="en-NZ"/>
              </w:rPr>
            </w:pPr>
            <w:r w:rsidRPr="00ED69AD">
              <w:t>1</w:t>
            </w:r>
          </w:p>
        </w:tc>
        <w:tc>
          <w:tcPr>
            <w:tcW w:w="2357" w:type="dxa"/>
            <w:vMerge w:val="restart"/>
            <w:tcBorders>
              <w:top w:val="nil"/>
              <w:left w:val="nil"/>
              <w:bottom w:val="nil"/>
              <w:right w:val="nil"/>
            </w:tcBorders>
            <w:tcMar>
              <w:top w:w="0" w:type="dxa"/>
              <w:left w:w="62" w:type="dxa"/>
              <w:bottom w:w="0" w:type="dxa"/>
              <w:right w:w="62" w:type="dxa"/>
            </w:tcMar>
          </w:tcPr>
          <w:p w:rsidR="00000000" w:rsidP="00ED69AD">
            <w:pPr>
              <w:pStyle w:val="BodyText"/>
              <w:rPr>
                <w:lang w:val="en-NZ"/>
              </w:rPr>
            </w:pPr>
            <w:r w:rsidRPr="00ED69AD">
              <w:t xml:space="preserve">Plan and prepare to </w:t>
            </w:r>
            <w:r w:rsidRPr="00ED69AD">
              <w:t>monitor operations for ODS and SGG storage areas.</w:t>
            </w:r>
          </w:p>
        </w:tc>
        <w:tc>
          <w:tcPr>
            <w:tcW w:w="804" w:type="dxa"/>
            <w:tcBorders>
              <w:top w:val="nil"/>
              <w:left w:val="nil"/>
              <w:bottom w:val="nil"/>
              <w:right w:val="nil"/>
            </w:tcBorders>
            <w:tcMar>
              <w:top w:w="0" w:type="dxa"/>
              <w:left w:w="62" w:type="dxa"/>
              <w:bottom w:w="0" w:type="dxa"/>
              <w:right w:w="62" w:type="dxa"/>
            </w:tcMar>
          </w:tcPr>
          <w:p w:rsidR="00000000" w:rsidP="00ED69AD">
            <w:pPr>
              <w:pStyle w:val="BodyText"/>
              <w:rPr>
                <w:lang w:val="en-NZ"/>
              </w:rPr>
            </w:pPr>
            <w:r w:rsidRPr="00ED69AD">
              <w:t>1.1</w:t>
            </w:r>
          </w:p>
        </w:tc>
        <w:tc>
          <w:tcPr>
            <w:tcW w:w="5659" w:type="dxa"/>
            <w:tcBorders>
              <w:top w:val="nil"/>
              <w:left w:val="nil"/>
              <w:bottom w:val="nil"/>
              <w:right w:val="nil"/>
            </w:tcBorders>
            <w:tcMar>
              <w:top w:w="0" w:type="dxa"/>
              <w:left w:w="62" w:type="dxa"/>
              <w:bottom w:w="0" w:type="dxa"/>
              <w:right w:w="62" w:type="dxa"/>
            </w:tcMar>
          </w:tcPr>
          <w:p w:rsidR="00000000" w:rsidP="00ED69AD">
            <w:pPr>
              <w:pStyle w:val="BodyText"/>
              <w:rPr>
                <w:lang w:val="en-NZ"/>
              </w:rPr>
            </w:pPr>
            <w:r w:rsidRPr="00ED69AD">
              <w:t xml:space="preserve">Read work instructions to clarify types of ODS and SGG </w:t>
            </w:r>
            <w:r w:rsidRPr="00ED69AD">
              <w:t>agents and containers and their storage specifications.</w:t>
            </w:r>
          </w:p>
        </w:tc>
      </w:tr>
      <w:tr w:rsidTr="00ED69A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D69AD">
            <w:pPr>
              <w:pStyle w:val="BodyText"/>
              <w:rPr>
                <w:lang w:val="en-NZ"/>
              </w:rPr>
            </w:pPr>
            <w:r w:rsidRPr="00ED69AD">
              <w:t>1.2</w:t>
            </w:r>
          </w:p>
        </w:tc>
        <w:tc>
          <w:tcPr>
            <w:tcW w:w="5659" w:type="dxa"/>
            <w:tcBorders>
              <w:top w:val="nil"/>
              <w:left w:val="nil"/>
              <w:bottom w:val="nil"/>
              <w:right w:val="nil"/>
            </w:tcBorders>
            <w:tcMar>
              <w:top w:w="0" w:type="dxa"/>
              <w:left w:w="62" w:type="dxa"/>
              <w:bottom w:w="0" w:type="dxa"/>
              <w:right w:w="62" w:type="dxa"/>
            </w:tcMar>
          </w:tcPr>
          <w:p w:rsidR="00000000" w:rsidP="00ED69AD">
            <w:pPr>
              <w:pStyle w:val="BodyText"/>
              <w:rPr>
                <w:lang w:val="en-NZ"/>
              </w:rPr>
            </w:pPr>
            <w:r w:rsidRPr="00ED69AD">
              <w:t>Plan work activities to comply with risk management plan for storage arrangement, ODS and SGG regulations, relevant Australian Standa</w:t>
            </w:r>
            <w:r w:rsidRPr="00ED69AD">
              <w:t>rds and workplace requirements.</w:t>
            </w:r>
          </w:p>
        </w:tc>
      </w:tr>
      <w:tr w:rsidTr="00ED69A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D69AD">
            <w:pPr>
              <w:pStyle w:val="BodyText"/>
              <w:rPr>
                <w:lang w:val="en-NZ"/>
              </w:rPr>
            </w:pPr>
            <w:r w:rsidRPr="00ED69AD">
              <w:t>1.3</w:t>
            </w:r>
          </w:p>
        </w:tc>
        <w:tc>
          <w:tcPr>
            <w:tcW w:w="5659" w:type="dxa"/>
            <w:tcBorders>
              <w:top w:val="nil"/>
              <w:left w:val="nil"/>
              <w:bottom w:val="nil"/>
              <w:right w:val="nil"/>
            </w:tcBorders>
            <w:tcMar>
              <w:top w:w="0" w:type="dxa"/>
              <w:left w:w="62" w:type="dxa"/>
              <w:bottom w:w="0" w:type="dxa"/>
              <w:right w:w="62" w:type="dxa"/>
            </w:tcMar>
          </w:tcPr>
          <w:p w:rsidR="00000000" w:rsidP="00ED69AD">
            <w:pPr>
              <w:pStyle w:val="BodyText"/>
              <w:rPr>
                <w:lang w:val="en-NZ"/>
              </w:rPr>
            </w:pPr>
            <w:r w:rsidRPr="00ED69AD">
              <w:t>Identify potential and actual breaches of rules and regulations associated with work instructions and take required action to ensure compliance according to regulatory and workplace requirements.</w:t>
            </w:r>
          </w:p>
        </w:tc>
      </w:tr>
      <w:tr w:rsidTr="00ED69A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D69AD">
            <w:pPr>
              <w:pStyle w:val="BodyText"/>
              <w:rPr>
                <w:lang w:val="en-NZ"/>
              </w:rPr>
            </w:pPr>
            <w:r w:rsidRPr="00ED69AD">
              <w:t>1.4</w:t>
            </w:r>
          </w:p>
        </w:tc>
        <w:tc>
          <w:tcPr>
            <w:tcW w:w="5659" w:type="dxa"/>
            <w:tcBorders>
              <w:top w:val="nil"/>
              <w:left w:val="nil"/>
              <w:bottom w:val="nil"/>
              <w:right w:val="nil"/>
            </w:tcBorders>
            <w:tcMar>
              <w:top w:w="0" w:type="dxa"/>
              <w:left w:w="62" w:type="dxa"/>
              <w:bottom w:w="0" w:type="dxa"/>
              <w:right w:w="62" w:type="dxa"/>
            </w:tcMar>
          </w:tcPr>
          <w:p w:rsidR="00000000" w:rsidP="00ED69AD">
            <w:pPr>
              <w:pStyle w:val="BodyText"/>
              <w:rPr>
                <w:lang w:val="en-NZ"/>
              </w:rPr>
            </w:pPr>
            <w:r w:rsidRPr="00ED69AD">
              <w:t>Select and use</w:t>
            </w:r>
            <w:r w:rsidRPr="00ED69AD">
              <w:t xml:space="preserve"> required tools and equipment, including personal protective equipment (PPE).</w:t>
            </w:r>
          </w:p>
        </w:tc>
      </w:tr>
      <w:tr w:rsidTr="00ED69AD">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ED69AD">
            <w:pPr>
              <w:pStyle w:val="BodyText"/>
              <w:rPr>
                <w:lang w:val="en-NZ"/>
              </w:rPr>
            </w:pPr>
          </w:p>
        </w:tc>
      </w:tr>
      <w:tr w:rsidTr="00ED69AD">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ED69AD">
            <w:pPr>
              <w:pStyle w:val="BodyText"/>
              <w:rPr>
                <w:lang w:val="en-NZ"/>
              </w:rPr>
            </w:pPr>
            <w:r w:rsidRPr="00ED69AD">
              <w:t>2</w:t>
            </w:r>
          </w:p>
        </w:tc>
        <w:tc>
          <w:tcPr>
            <w:tcW w:w="2357" w:type="dxa"/>
            <w:vMerge w:val="restart"/>
            <w:tcBorders>
              <w:top w:val="nil"/>
              <w:left w:val="nil"/>
              <w:bottom w:val="nil"/>
              <w:right w:val="nil"/>
            </w:tcBorders>
            <w:tcMar>
              <w:top w:w="0" w:type="dxa"/>
              <w:left w:w="62" w:type="dxa"/>
              <w:bottom w:w="0" w:type="dxa"/>
              <w:right w:w="62" w:type="dxa"/>
            </w:tcMar>
          </w:tcPr>
          <w:p w:rsidR="00000000" w:rsidP="00ED69AD">
            <w:pPr>
              <w:pStyle w:val="BodyText"/>
              <w:rPr>
                <w:lang w:val="en-NZ"/>
              </w:rPr>
            </w:pPr>
            <w:r w:rsidRPr="00ED69AD">
              <w:t>Identify hazards in monitored area.</w:t>
            </w:r>
          </w:p>
        </w:tc>
        <w:tc>
          <w:tcPr>
            <w:tcW w:w="804" w:type="dxa"/>
            <w:tcBorders>
              <w:top w:val="nil"/>
              <w:left w:val="nil"/>
              <w:bottom w:val="nil"/>
              <w:right w:val="nil"/>
            </w:tcBorders>
            <w:tcMar>
              <w:top w:w="0" w:type="dxa"/>
              <w:left w:w="62" w:type="dxa"/>
              <w:bottom w:w="0" w:type="dxa"/>
              <w:right w:w="62" w:type="dxa"/>
            </w:tcMar>
          </w:tcPr>
          <w:p w:rsidR="00000000" w:rsidP="00ED69AD">
            <w:pPr>
              <w:pStyle w:val="BodyText"/>
              <w:rPr>
                <w:lang w:val="en-NZ"/>
              </w:rPr>
            </w:pPr>
            <w:r w:rsidRPr="00ED69AD">
              <w:t>2.1</w:t>
            </w:r>
          </w:p>
        </w:tc>
        <w:tc>
          <w:tcPr>
            <w:tcW w:w="5659" w:type="dxa"/>
            <w:tcBorders>
              <w:top w:val="nil"/>
              <w:left w:val="nil"/>
              <w:bottom w:val="nil"/>
              <w:right w:val="nil"/>
            </w:tcBorders>
            <w:tcMar>
              <w:top w:w="0" w:type="dxa"/>
              <w:left w:w="62" w:type="dxa"/>
              <w:bottom w:w="0" w:type="dxa"/>
              <w:right w:w="62" w:type="dxa"/>
            </w:tcMar>
          </w:tcPr>
          <w:p w:rsidR="00000000" w:rsidP="00ED69AD">
            <w:pPr>
              <w:pStyle w:val="BodyText"/>
              <w:rPr>
                <w:lang w:val="en-NZ"/>
              </w:rPr>
            </w:pPr>
            <w:r w:rsidRPr="00ED69AD">
              <w:t>Identify and record potential hazards in the storage area.</w:t>
            </w:r>
          </w:p>
        </w:tc>
      </w:tr>
      <w:tr w:rsidTr="00ED69A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D69AD">
            <w:pPr>
              <w:pStyle w:val="BodyText"/>
              <w:rPr>
                <w:lang w:val="en-NZ"/>
              </w:rPr>
            </w:pPr>
            <w:r w:rsidRPr="00ED69AD">
              <w:t>2.2</w:t>
            </w:r>
          </w:p>
        </w:tc>
        <w:tc>
          <w:tcPr>
            <w:tcW w:w="5659" w:type="dxa"/>
            <w:tcBorders>
              <w:top w:val="nil"/>
              <w:left w:val="nil"/>
              <w:bottom w:val="nil"/>
              <w:right w:val="nil"/>
            </w:tcBorders>
            <w:tcMar>
              <w:top w:w="0" w:type="dxa"/>
              <w:left w:w="62" w:type="dxa"/>
              <w:bottom w:w="0" w:type="dxa"/>
              <w:right w:w="62" w:type="dxa"/>
            </w:tcMar>
          </w:tcPr>
          <w:p w:rsidR="00000000" w:rsidP="00ED69AD">
            <w:pPr>
              <w:pStyle w:val="BodyText"/>
              <w:rPr>
                <w:lang w:val="en-NZ"/>
              </w:rPr>
            </w:pPr>
            <w:r w:rsidRPr="00ED69AD">
              <w:t>Monitor leak detection equipment and security systems to identify, assess and record existing hazards in the storage area.</w:t>
            </w:r>
          </w:p>
        </w:tc>
      </w:tr>
      <w:tr w:rsidTr="00ED69A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D69AD">
            <w:pPr>
              <w:pStyle w:val="BodyText"/>
              <w:rPr>
                <w:lang w:val="en-NZ"/>
              </w:rPr>
            </w:pPr>
            <w:r w:rsidRPr="00ED69AD">
              <w:t>2.3</w:t>
            </w:r>
          </w:p>
        </w:tc>
        <w:tc>
          <w:tcPr>
            <w:tcW w:w="5659" w:type="dxa"/>
            <w:tcBorders>
              <w:top w:val="nil"/>
              <w:left w:val="nil"/>
              <w:bottom w:val="nil"/>
              <w:right w:val="nil"/>
            </w:tcBorders>
            <w:tcMar>
              <w:top w:w="0" w:type="dxa"/>
              <w:left w:w="62" w:type="dxa"/>
              <w:bottom w:w="0" w:type="dxa"/>
              <w:right w:w="62" w:type="dxa"/>
            </w:tcMar>
          </w:tcPr>
          <w:p w:rsidR="00000000" w:rsidP="00ED69AD">
            <w:pPr>
              <w:pStyle w:val="BodyText"/>
              <w:rPr>
                <w:lang w:val="en-NZ"/>
              </w:rPr>
            </w:pPr>
            <w:r w:rsidRPr="00ED69AD">
              <w:t>Identify and record the type, scope and likely impact of unresolved hazards according to workplace requirements.</w:t>
            </w:r>
          </w:p>
        </w:tc>
      </w:tr>
      <w:tr w:rsidTr="00ED69AD">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ED69AD">
            <w:pPr>
              <w:pStyle w:val="BodyText"/>
              <w:rPr>
                <w:lang w:val="en-NZ"/>
              </w:rPr>
            </w:pPr>
          </w:p>
        </w:tc>
      </w:tr>
      <w:tr w:rsidTr="00ED69AD">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ED69AD">
            <w:pPr>
              <w:pStyle w:val="BodyText"/>
              <w:rPr>
                <w:lang w:val="en-NZ"/>
              </w:rPr>
            </w:pPr>
            <w:r w:rsidRPr="00ED69AD">
              <w:t>3</w:t>
            </w:r>
          </w:p>
        </w:tc>
        <w:tc>
          <w:tcPr>
            <w:tcW w:w="2357" w:type="dxa"/>
            <w:vMerge w:val="restart"/>
            <w:tcBorders>
              <w:top w:val="nil"/>
              <w:left w:val="nil"/>
              <w:bottom w:val="nil"/>
              <w:right w:val="nil"/>
            </w:tcBorders>
            <w:tcMar>
              <w:top w:w="0" w:type="dxa"/>
              <w:left w:w="62" w:type="dxa"/>
              <w:bottom w:w="0" w:type="dxa"/>
              <w:right w:w="62" w:type="dxa"/>
            </w:tcMar>
          </w:tcPr>
          <w:p w:rsidR="00000000" w:rsidP="00ED69AD">
            <w:pPr>
              <w:pStyle w:val="BodyText"/>
              <w:rPr>
                <w:lang w:val="en-NZ"/>
              </w:rPr>
            </w:pPr>
            <w:r w:rsidRPr="00ED69AD">
              <w:t>Assess and address risk of identified hazard.</w:t>
            </w:r>
          </w:p>
        </w:tc>
        <w:tc>
          <w:tcPr>
            <w:tcW w:w="804" w:type="dxa"/>
            <w:tcBorders>
              <w:top w:val="nil"/>
              <w:left w:val="nil"/>
              <w:bottom w:val="nil"/>
              <w:right w:val="nil"/>
            </w:tcBorders>
            <w:tcMar>
              <w:top w:w="0" w:type="dxa"/>
              <w:left w:w="62" w:type="dxa"/>
              <w:bottom w:w="0" w:type="dxa"/>
              <w:right w:w="62" w:type="dxa"/>
            </w:tcMar>
          </w:tcPr>
          <w:p w:rsidR="00000000" w:rsidP="00ED69AD">
            <w:pPr>
              <w:pStyle w:val="BodyText"/>
              <w:rPr>
                <w:lang w:val="en-NZ"/>
              </w:rPr>
            </w:pPr>
            <w:r w:rsidRPr="00ED69AD">
              <w:t>3.1</w:t>
            </w:r>
          </w:p>
        </w:tc>
        <w:tc>
          <w:tcPr>
            <w:tcW w:w="5659" w:type="dxa"/>
            <w:tcBorders>
              <w:top w:val="nil"/>
              <w:left w:val="nil"/>
              <w:bottom w:val="nil"/>
              <w:right w:val="nil"/>
            </w:tcBorders>
            <w:tcMar>
              <w:top w:w="0" w:type="dxa"/>
              <w:left w:w="62" w:type="dxa"/>
              <w:bottom w:w="0" w:type="dxa"/>
              <w:right w:w="62" w:type="dxa"/>
            </w:tcMar>
          </w:tcPr>
          <w:p w:rsidR="00000000" w:rsidP="00ED69AD">
            <w:pPr>
              <w:pStyle w:val="BodyText"/>
              <w:rPr>
                <w:lang w:val="en-NZ"/>
              </w:rPr>
            </w:pPr>
            <w:r w:rsidRPr="00ED69AD">
              <w:t>Assess risk and identify risk level posed by hazard according to workplace requirements.</w:t>
            </w:r>
          </w:p>
        </w:tc>
      </w:tr>
      <w:tr w:rsidTr="00ED69A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D69AD">
            <w:pPr>
              <w:pStyle w:val="BodyText"/>
              <w:rPr>
                <w:lang w:val="en-NZ"/>
              </w:rPr>
            </w:pPr>
            <w:r w:rsidRPr="00ED69AD">
              <w:t>3.2</w:t>
            </w:r>
          </w:p>
        </w:tc>
        <w:tc>
          <w:tcPr>
            <w:tcW w:w="5659" w:type="dxa"/>
            <w:tcBorders>
              <w:top w:val="nil"/>
              <w:left w:val="nil"/>
              <w:bottom w:val="nil"/>
              <w:right w:val="nil"/>
            </w:tcBorders>
            <w:tcMar>
              <w:top w:w="0" w:type="dxa"/>
              <w:left w:w="62" w:type="dxa"/>
              <w:bottom w:w="0" w:type="dxa"/>
              <w:right w:w="62" w:type="dxa"/>
            </w:tcMar>
          </w:tcPr>
          <w:p w:rsidR="00000000" w:rsidP="00ED69AD">
            <w:pPr>
              <w:pStyle w:val="BodyText"/>
              <w:rPr>
                <w:lang w:val="en-NZ"/>
              </w:rPr>
            </w:pPr>
            <w:r w:rsidRPr="00ED69AD">
              <w:t>Identify control measures to eliminate or minimise risk in discussion with relevant persons and according to workplace requirements.</w:t>
            </w:r>
          </w:p>
        </w:tc>
      </w:tr>
      <w:tr w:rsidTr="00ED69A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D69AD">
            <w:pPr>
              <w:pStyle w:val="BodyText"/>
              <w:rPr>
                <w:lang w:val="en-NZ"/>
              </w:rPr>
            </w:pPr>
            <w:r w:rsidRPr="00ED69AD">
              <w:t>3.3</w:t>
            </w:r>
          </w:p>
        </w:tc>
        <w:tc>
          <w:tcPr>
            <w:tcW w:w="5659" w:type="dxa"/>
            <w:tcBorders>
              <w:top w:val="nil"/>
              <w:left w:val="nil"/>
              <w:bottom w:val="nil"/>
              <w:right w:val="nil"/>
            </w:tcBorders>
            <w:tcMar>
              <w:top w:w="0" w:type="dxa"/>
              <w:left w:w="62" w:type="dxa"/>
              <w:bottom w:w="0" w:type="dxa"/>
              <w:right w:w="62" w:type="dxa"/>
            </w:tcMar>
          </w:tcPr>
          <w:p w:rsidR="00000000" w:rsidP="00ED69AD">
            <w:pPr>
              <w:pStyle w:val="BodyText"/>
              <w:rPr>
                <w:lang w:val="en-NZ"/>
              </w:rPr>
            </w:pPr>
            <w:r w:rsidRPr="00ED69AD">
              <w:t>Apply identified control measures to eliminate or minimise risk according to workplace requirements.</w:t>
            </w:r>
          </w:p>
        </w:tc>
      </w:tr>
      <w:tr w:rsidTr="00ED69AD">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ED69AD">
            <w:pPr>
              <w:pStyle w:val="BodyText"/>
              <w:rPr>
                <w:lang w:val="en-NZ"/>
              </w:rPr>
            </w:pPr>
          </w:p>
        </w:tc>
      </w:tr>
      <w:tr w:rsidTr="00ED69AD">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ED69AD">
            <w:pPr>
              <w:pStyle w:val="BodyText"/>
              <w:rPr>
                <w:lang w:val="en-NZ"/>
              </w:rPr>
            </w:pPr>
            <w:r w:rsidRPr="00ED69AD">
              <w:t>4</w:t>
            </w:r>
          </w:p>
        </w:tc>
        <w:tc>
          <w:tcPr>
            <w:tcW w:w="2357" w:type="dxa"/>
            <w:vMerge w:val="restart"/>
            <w:tcBorders>
              <w:top w:val="nil"/>
              <w:left w:val="nil"/>
              <w:bottom w:val="nil"/>
              <w:right w:val="nil"/>
            </w:tcBorders>
            <w:tcMar>
              <w:top w:w="0" w:type="dxa"/>
              <w:left w:w="62" w:type="dxa"/>
              <w:bottom w:w="0" w:type="dxa"/>
              <w:right w:w="62" w:type="dxa"/>
            </w:tcMar>
          </w:tcPr>
          <w:p w:rsidR="00000000" w:rsidP="00ED69AD">
            <w:pPr>
              <w:pStyle w:val="BodyText"/>
              <w:rPr>
                <w:lang w:val="en-NZ"/>
              </w:rPr>
            </w:pPr>
            <w:r w:rsidRPr="00ED69AD">
              <w:t>Moni</w:t>
            </w:r>
            <w:r w:rsidRPr="00ED69AD">
              <w:t>tor ODS and SGG emissions and detection system.</w:t>
            </w:r>
          </w:p>
        </w:tc>
        <w:tc>
          <w:tcPr>
            <w:tcW w:w="804" w:type="dxa"/>
            <w:tcBorders>
              <w:top w:val="nil"/>
              <w:left w:val="nil"/>
              <w:bottom w:val="nil"/>
              <w:right w:val="nil"/>
            </w:tcBorders>
            <w:tcMar>
              <w:top w:w="0" w:type="dxa"/>
              <w:left w:w="62" w:type="dxa"/>
              <w:bottom w:w="0" w:type="dxa"/>
              <w:right w:w="62" w:type="dxa"/>
            </w:tcMar>
          </w:tcPr>
          <w:p w:rsidR="00000000" w:rsidP="00ED69AD">
            <w:pPr>
              <w:pStyle w:val="BodyText"/>
              <w:rPr>
                <w:lang w:val="en-NZ"/>
              </w:rPr>
            </w:pPr>
            <w:r w:rsidRPr="00ED69AD">
              <w:t>4.1</w:t>
            </w:r>
          </w:p>
        </w:tc>
        <w:tc>
          <w:tcPr>
            <w:tcW w:w="5659" w:type="dxa"/>
            <w:tcBorders>
              <w:top w:val="nil"/>
              <w:left w:val="nil"/>
              <w:bottom w:val="nil"/>
              <w:right w:val="nil"/>
            </w:tcBorders>
            <w:tcMar>
              <w:top w:w="0" w:type="dxa"/>
              <w:left w:w="62" w:type="dxa"/>
              <w:bottom w:w="0" w:type="dxa"/>
              <w:right w:w="62" w:type="dxa"/>
            </w:tcMar>
          </w:tcPr>
          <w:p w:rsidR="00000000" w:rsidP="00ED69AD">
            <w:pPr>
              <w:pStyle w:val="BodyText"/>
              <w:rPr>
                <w:lang w:val="en-NZ"/>
              </w:rPr>
            </w:pPr>
            <w:r w:rsidRPr="00ED69AD">
              <w:t>Identify leak detection test equipment and emission detection system components.</w:t>
            </w:r>
          </w:p>
        </w:tc>
      </w:tr>
      <w:tr w:rsidTr="00ED69A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D69AD">
            <w:pPr>
              <w:pStyle w:val="BodyText"/>
              <w:rPr>
                <w:lang w:val="en-NZ"/>
              </w:rPr>
            </w:pPr>
            <w:r w:rsidRPr="00ED69AD">
              <w:t>4.2</w:t>
            </w:r>
          </w:p>
        </w:tc>
        <w:tc>
          <w:tcPr>
            <w:tcW w:w="5659" w:type="dxa"/>
            <w:tcBorders>
              <w:top w:val="nil"/>
              <w:left w:val="nil"/>
              <w:bottom w:val="nil"/>
              <w:right w:val="nil"/>
            </w:tcBorders>
            <w:tcMar>
              <w:top w:w="0" w:type="dxa"/>
              <w:left w:w="62" w:type="dxa"/>
              <w:bottom w:w="0" w:type="dxa"/>
              <w:right w:w="62" w:type="dxa"/>
            </w:tcMar>
          </w:tcPr>
          <w:p w:rsidR="00000000" w:rsidP="00ED69AD">
            <w:pPr>
              <w:pStyle w:val="BodyText"/>
              <w:rPr>
                <w:lang w:val="en-NZ"/>
              </w:rPr>
            </w:pPr>
            <w:r w:rsidRPr="00ED69AD">
              <w:t>Interpret emission detection system information to identify causes or sources of detected emissions.</w:t>
            </w:r>
          </w:p>
        </w:tc>
      </w:tr>
      <w:tr w:rsidTr="00ED69A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D69AD">
            <w:pPr>
              <w:pStyle w:val="BodyText"/>
              <w:rPr>
                <w:lang w:val="en-NZ"/>
              </w:rPr>
            </w:pPr>
            <w:r w:rsidRPr="00ED69AD">
              <w:t>4.3</w:t>
            </w:r>
          </w:p>
        </w:tc>
        <w:tc>
          <w:tcPr>
            <w:tcW w:w="5659" w:type="dxa"/>
            <w:tcBorders>
              <w:top w:val="nil"/>
              <w:left w:val="nil"/>
              <w:bottom w:val="nil"/>
              <w:right w:val="nil"/>
            </w:tcBorders>
            <w:tcMar>
              <w:top w:w="0" w:type="dxa"/>
              <w:left w:w="62" w:type="dxa"/>
              <w:bottom w:w="0" w:type="dxa"/>
              <w:right w:w="62" w:type="dxa"/>
            </w:tcMar>
          </w:tcPr>
          <w:p w:rsidR="00000000" w:rsidP="00ED69AD">
            <w:pPr>
              <w:pStyle w:val="BodyText"/>
              <w:rPr>
                <w:lang w:val="en-NZ"/>
              </w:rPr>
            </w:pPr>
            <w:r w:rsidRPr="00ED69AD">
              <w:t>Respond to detected emissions according to regulatory and workplace requirements.</w:t>
            </w:r>
          </w:p>
        </w:tc>
      </w:tr>
      <w:tr w:rsidTr="00ED69A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D69AD">
            <w:pPr>
              <w:pStyle w:val="BodyText"/>
              <w:rPr>
                <w:lang w:val="en-NZ"/>
              </w:rPr>
            </w:pPr>
            <w:r w:rsidRPr="00ED69AD">
              <w:t>4.4</w:t>
            </w:r>
          </w:p>
        </w:tc>
        <w:tc>
          <w:tcPr>
            <w:tcW w:w="5659" w:type="dxa"/>
            <w:tcBorders>
              <w:top w:val="nil"/>
              <w:left w:val="nil"/>
              <w:bottom w:val="nil"/>
              <w:right w:val="nil"/>
            </w:tcBorders>
            <w:tcMar>
              <w:top w:w="0" w:type="dxa"/>
              <w:left w:w="62" w:type="dxa"/>
              <w:bottom w:w="0" w:type="dxa"/>
              <w:right w:w="62" w:type="dxa"/>
            </w:tcMar>
          </w:tcPr>
          <w:p w:rsidR="00000000" w:rsidP="00ED69AD">
            <w:pPr>
              <w:pStyle w:val="BodyText"/>
              <w:rPr>
                <w:lang w:val="en-NZ"/>
              </w:rPr>
            </w:pPr>
            <w:r w:rsidRPr="00ED69AD">
              <w:t xml:space="preserve">Participate in investigation of detected emission and </w:t>
            </w:r>
            <w:r w:rsidRPr="00ED69AD">
              <w:t>suggest recommendations for improvements to the emission detection system according to workplace requirements.</w:t>
            </w:r>
          </w:p>
        </w:tc>
      </w:tr>
      <w:tr w:rsidTr="00ED69A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D69AD">
            <w:pPr>
              <w:pStyle w:val="BodyText"/>
              <w:rPr>
                <w:lang w:val="en-NZ"/>
              </w:rPr>
            </w:pPr>
            <w:r w:rsidRPr="00ED69AD">
              <w:t>4.5</w:t>
            </w:r>
          </w:p>
        </w:tc>
        <w:tc>
          <w:tcPr>
            <w:tcW w:w="5659" w:type="dxa"/>
            <w:tcBorders>
              <w:top w:val="nil"/>
              <w:left w:val="nil"/>
              <w:bottom w:val="nil"/>
              <w:right w:val="nil"/>
            </w:tcBorders>
            <w:tcMar>
              <w:top w:w="0" w:type="dxa"/>
              <w:left w:w="62" w:type="dxa"/>
              <w:bottom w:w="0" w:type="dxa"/>
              <w:right w:w="62" w:type="dxa"/>
            </w:tcMar>
          </w:tcPr>
          <w:p w:rsidR="00000000" w:rsidP="00ED69AD">
            <w:pPr>
              <w:pStyle w:val="BodyText"/>
              <w:rPr>
                <w:lang w:val="en-NZ"/>
              </w:rPr>
            </w:pPr>
            <w:r w:rsidRPr="00ED69AD">
              <w:t>Record emission detection results according to regulatory and workplace requirements.</w:t>
            </w:r>
          </w:p>
        </w:tc>
      </w:tr>
      <w:tr w:rsidTr="00ED69AD">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ED69AD">
            <w:pPr>
              <w:pStyle w:val="BodyText"/>
              <w:rPr>
                <w:lang w:val="en-NZ"/>
              </w:rPr>
            </w:pPr>
          </w:p>
        </w:tc>
      </w:tr>
      <w:tr w:rsidTr="00ED69AD">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ED69AD">
            <w:pPr>
              <w:pStyle w:val="BodyText"/>
              <w:rPr>
                <w:lang w:val="en-NZ"/>
              </w:rPr>
            </w:pPr>
            <w:r w:rsidRPr="00ED69AD">
              <w:t>5</w:t>
            </w:r>
          </w:p>
        </w:tc>
        <w:tc>
          <w:tcPr>
            <w:tcW w:w="2357" w:type="dxa"/>
            <w:vMerge w:val="restart"/>
            <w:tcBorders>
              <w:top w:val="nil"/>
              <w:left w:val="nil"/>
              <w:bottom w:val="nil"/>
              <w:right w:val="nil"/>
            </w:tcBorders>
            <w:tcMar>
              <w:top w:w="0" w:type="dxa"/>
              <w:left w:w="62" w:type="dxa"/>
              <w:bottom w:w="0" w:type="dxa"/>
              <w:right w:w="62" w:type="dxa"/>
            </w:tcMar>
          </w:tcPr>
          <w:p w:rsidR="00000000" w:rsidP="00ED69AD">
            <w:pPr>
              <w:pStyle w:val="BodyText"/>
              <w:rPr>
                <w:lang w:val="en-NZ"/>
              </w:rPr>
            </w:pPr>
            <w:r w:rsidRPr="00ED69AD">
              <w:t>Perform leak detection test.</w:t>
            </w:r>
          </w:p>
        </w:tc>
        <w:tc>
          <w:tcPr>
            <w:tcW w:w="804" w:type="dxa"/>
            <w:tcBorders>
              <w:top w:val="nil"/>
              <w:left w:val="nil"/>
              <w:bottom w:val="nil"/>
              <w:right w:val="nil"/>
            </w:tcBorders>
            <w:tcMar>
              <w:top w:w="0" w:type="dxa"/>
              <w:left w:w="62" w:type="dxa"/>
              <w:bottom w:w="0" w:type="dxa"/>
              <w:right w:w="62" w:type="dxa"/>
            </w:tcMar>
          </w:tcPr>
          <w:p w:rsidR="00000000" w:rsidP="00ED69AD">
            <w:pPr>
              <w:pStyle w:val="BodyText"/>
              <w:rPr>
                <w:lang w:val="en-NZ"/>
              </w:rPr>
            </w:pPr>
            <w:r w:rsidRPr="00ED69AD">
              <w:t>5.1</w:t>
            </w:r>
          </w:p>
        </w:tc>
        <w:tc>
          <w:tcPr>
            <w:tcW w:w="5659" w:type="dxa"/>
            <w:tcBorders>
              <w:top w:val="nil"/>
              <w:left w:val="nil"/>
              <w:bottom w:val="nil"/>
              <w:right w:val="nil"/>
            </w:tcBorders>
            <w:tcMar>
              <w:top w:w="0" w:type="dxa"/>
              <w:left w:w="62" w:type="dxa"/>
              <w:bottom w:w="0" w:type="dxa"/>
              <w:right w:w="62" w:type="dxa"/>
            </w:tcMar>
          </w:tcPr>
          <w:p w:rsidR="00000000" w:rsidP="00ED69AD">
            <w:pPr>
              <w:pStyle w:val="BodyText"/>
              <w:rPr>
                <w:lang w:val="en-NZ"/>
              </w:rPr>
            </w:pPr>
            <w:r w:rsidRPr="00ED69AD">
              <w:t>Perform leak detection test on storage container, connections, valves and gauges.</w:t>
            </w:r>
          </w:p>
        </w:tc>
      </w:tr>
      <w:tr w:rsidTr="00ED69A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D69AD">
            <w:pPr>
              <w:pStyle w:val="BodyText"/>
              <w:rPr>
                <w:lang w:val="en-NZ"/>
              </w:rPr>
            </w:pPr>
            <w:r w:rsidRPr="00ED69AD">
              <w:t>5.2</w:t>
            </w:r>
          </w:p>
        </w:tc>
        <w:tc>
          <w:tcPr>
            <w:tcW w:w="5659" w:type="dxa"/>
            <w:tcBorders>
              <w:top w:val="nil"/>
              <w:left w:val="nil"/>
              <w:bottom w:val="nil"/>
              <w:right w:val="nil"/>
            </w:tcBorders>
            <w:tcMar>
              <w:top w:w="0" w:type="dxa"/>
              <w:left w:w="62" w:type="dxa"/>
              <w:bottom w:w="0" w:type="dxa"/>
              <w:right w:w="62" w:type="dxa"/>
            </w:tcMar>
          </w:tcPr>
          <w:p w:rsidR="00000000" w:rsidP="00ED69AD">
            <w:pPr>
              <w:pStyle w:val="BodyText"/>
              <w:rPr>
                <w:lang w:val="en-NZ"/>
              </w:rPr>
            </w:pPr>
            <w:r w:rsidRPr="00ED69AD">
              <w:t>Monitor and identify changes in storage container pressure.</w:t>
            </w:r>
          </w:p>
        </w:tc>
      </w:tr>
      <w:tr w:rsidTr="00ED69A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D69AD">
            <w:pPr>
              <w:pStyle w:val="BodyText"/>
              <w:rPr>
                <w:lang w:val="en-NZ"/>
              </w:rPr>
            </w:pPr>
            <w:r w:rsidRPr="00ED69AD">
              <w:t>5.3</w:t>
            </w:r>
          </w:p>
        </w:tc>
        <w:tc>
          <w:tcPr>
            <w:tcW w:w="5659" w:type="dxa"/>
            <w:tcBorders>
              <w:top w:val="nil"/>
              <w:left w:val="nil"/>
              <w:bottom w:val="nil"/>
              <w:right w:val="nil"/>
            </w:tcBorders>
            <w:tcMar>
              <w:top w:w="0" w:type="dxa"/>
              <w:left w:w="62" w:type="dxa"/>
              <w:bottom w:w="0" w:type="dxa"/>
              <w:right w:w="62" w:type="dxa"/>
            </w:tcMar>
          </w:tcPr>
          <w:p w:rsidR="00000000" w:rsidP="00ED69AD">
            <w:pPr>
              <w:pStyle w:val="BodyText"/>
              <w:rPr>
                <w:lang w:val="en-NZ"/>
              </w:rPr>
            </w:pPr>
            <w:r w:rsidRPr="00ED69AD">
              <w:t>Follow procedures to address identified storage container leakage according to regulatory and workplace requirements.</w:t>
            </w:r>
          </w:p>
        </w:tc>
      </w:tr>
      <w:tr w:rsidTr="00ED69A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D69AD">
            <w:pPr>
              <w:pStyle w:val="BodyText"/>
              <w:rPr>
                <w:lang w:val="en-NZ"/>
              </w:rPr>
            </w:pPr>
            <w:r w:rsidRPr="00ED69AD">
              <w:t>5.4</w:t>
            </w:r>
          </w:p>
        </w:tc>
        <w:tc>
          <w:tcPr>
            <w:tcW w:w="5659" w:type="dxa"/>
            <w:tcBorders>
              <w:top w:val="nil"/>
              <w:left w:val="nil"/>
              <w:bottom w:val="nil"/>
              <w:right w:val="nil"/>
            </w:tcBorders>
            <w:tcMar>
              <w:top w:w="0" w:type="dxa"/>
              <w:left w:w="62" w:type="dxa"/>
              <w:bottom w:w="0" w:type="dxa"/>
              <w:right w:w="62" w:type="dxa"/>
            </w:tcMar>
          </w:tcPr>
          <w:p w:rsidR="00000000" w:rsidP="00ED69AD">
            <w:pPr>
              <w:pStyle w:val="BodyText"/>
              <w:rPr>
                <w:lang w:val="en-NZ"/>
              </w:rPr>
            </w:pPr>
            <w:r w:rsidRPr="00ED69AD">
              <w:t>Record leak detection test results according to regulatory and workplace requirements.</w:t>
            </w:r>
          </w:p>
        </w:tc>
      </w:tr>
      <w:tr w:rsidTr="00ED69AD">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ED69AD">
            <w:pPr>
              <w:pStyle w:val="BodyText"/>
              <w:rPr>
                <w:lang w:val="en-NZ"/>
              </w:rPr>
            </w:pPr>
          </w:p>
        </w:tc>
      </w:tr>
      <w:tr w:rsidTr="00ED69AD">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ED69AD">
            <w:pPr>
              <w:pStyle w:val="BodyText"/>
              <w:rPr>
                <w:lang w:val="en-NZ"/>
              </w:rPr>
            </w:pPr>
            <w:r w:rsidRPr="00ED69AD">
              <w:t>6</w:t>
            </w:r>
          </w:p>
        </w:tc>
        <w:tc>
          <w:tcPr>
            <w:tcW w:w="2357" w:type="dxa"/>
            <w:vMerge w:val="restart"/>
            <w:tcBorders>
              <w:top w:val="nil"/>
              <w:left w:val="nil"/>
              <w:bottom w:val="nil"/>
              <w:right w:val="nil"/>
            </w:tcBorders>
            <w:tcMar>
              <w:top w:w="0" w:type="dxa"/>
              <w:left w:w="62" w:type="dxa"/>
              <w:bottom w:w="0" w:type="dxa"/>
              <w:right w:w="62" w:type="dxa"/>
            </w:tcMar>
          </w:tcPr>
          <w:p w:rsidR="00000000" w:rsidP="00ED69AD">
            <w:pPr>
              <w:pStyle w:val="BodyText"/>
              <w:rPr>
                <w:lang w:val="en-NZ"/>
              </w:rPr>
            </w:pPr>
            <w:r w:rsidRPr="00ED69AD">
              <w:t>Track and audit storage container movements.</w:t>
            </w:r>
          </w:p>
        </w:tc>
        <w:tc>
          <w:tcPr>
            <w:tcW w:w="804" w:type="dxa"/>
            <w:tcBorders>
              <w:top w:val="nil"/>
              <w:left w:val="nil"/>
              <w:bottom w:val="nil"/>
              <w:right w:val="nil"/>
            </w:tcBorders>
            <w:tcMar>
              <w:top w:w="0" w:type="dxa"/>
              <w:left w:w="62" w:type="dxa"/>
              <w:bottom w:w="0" w:type="dxa"/>
              <w:right w:w="62" w:type="dxa"/>
            </w:tcMar>
          </w:tcPr>
          <w:p w:rsidR="00000000" w:rsidP="00ED69AD">
            <w:pPr>
              <w:pStyle w:val="BodyText"/>
              <w:rPr>
                <w:lang w:val="en-NZ"/>
              </w:rPr>
            </w:pPr>
            <w:r w:rsidRPr="00ED69AD">
              <w:t>6.1</w:t>
            </w:r>
          </w:p>
        </w:tc>
        <w:tc>
          <w:tcPr>
            <w:tcW w:w="5659" w:type="dxa"/>
            <w:tcBorders>
              <w:top w:val="nil"/>
              <w:left w:val="nil"/>
              <w:bottom w:val="nil"/>
              <w:right w:val="nil"/>
            </w:tcBorders>
            <w:tcMar>
              <w:top w:w="0" w:type="dxa"/>
              <w:left w:w="62" w:type="dxa"/>
              <w:bottom w:w="0" w:type="dxa"/>
              <w:right w:w="62" w:type="dxa"/>
            </w:tcMar>
          </w:tcPr>
          <w:p w:rsidR="00000000" w:rsidP="00ED69AD">
            <w:pPr>
              <w:pStyle w:val="BodyText"/>
              <w:rPr>
                <w:lang w:val="en-NZ"/>
              </w:rPr>
            </w:pPr>
            <w:r w:rsidRPr="00ED69AD">
              <w:t>Schedule storage container audit to minimise disruption to the workplace.</w:t>
            </w:r>
          </w:p>
        </w:tc>
      </w:tr>
      <w:tr w:rsidTr="00ED69A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D69AD">
            <w:pPr>
              <w:pStyle w:val="BodyText"/>
              <w:rPr>
                <w:lang w:val="en-NZ"/>
              </w:rPr>
            </w:pPr>
            <w:r w:rsidRPr="00ED69AD">
              <w:t>6.2</w:t>
            </w:r>
          </w:p>
        </w:tc>
        <w:tc>
          <w:tcPr>
            <w:tcW w:w="5659" w:type="dxa"/>
            <w:tcBorders>
              <w:top w:val="nil"/>
              <w:left w:val="nil"/>
              <w:bottom w:val="nil"/>
              <w:right w:val="nil"/>
            </w:tcBorders>
            <w:tcMar>
              <w:top w:w="0" w:type="dxa"/>
              <w:left w:w="62" w:type="dxa"/>
              <w:bottom w:w="0" w:type="dxa"/>
              <w:right w:w="62" w:type="dxa"/>
            </w:tcMar>
          </w:tcPr>
          <w:p w:rsidR="00000000" w:rsidP="00ED69AD">
            <w:pPr>
              <w:pStyle w:val="BodyText"/>
              <w:rPr>
                <w:lang w:val="en-NZ"/>
              </w:rPr>
            </w:pPr>
            <w:r w:rsidRPr="00ED69AD">
              <w:t>Audit and record stor</w:t>
            </w:r>
            <w:r w:rsidRPr="00ED69AD">
              <w:t>age container movements according to workplace requirements.</w:t>
            </w:r>
          </w:p>
        </w:tc>
      </w:tr>
      <w:tr w:rsidTr="00ED69A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D69AD">
            <w:pPr>
              <w:pStyle w:val="BodyText"/>
              <w:rPr>
                <w:lang w:val="en-NZ"/>
              </w:rPr>
            </w:pPr>
            <w:r w:rsidRPr="00ED69AD">
              <w:t>6.3</w:t>
            </w:r>
          </w:p>
        </w:tc>
        <w:tc>
          <w:tcPr>
            <w:tcW w:w="5659" w:type="dxa"/>
            <w:tcBorders>
              <w:top w:val="nil"/>
              <w:left w:val="nil"/>
              <w:bottom w:val="nil"/>
              <w:right w:val="nil"/>
            </w:tcBorders>
            <w:tcMar>
              <w:top w:w="0" w:type="dxa"/>
              <w:left w:w="62" w:type="dxa"/>
              <w:bottom w:w="0" w:type="dxa"/>
              <w:right w:w="62" w:type="dxa"/>
            </w:tcMar>
          </w:tcPr>
          <w:p w:rsidR="00000000" w:rsidP="00ED69AD">
            <w:pPr>
              <w:pStyle w:val="BodyText"/>
              <w:rPr>
                <w:lang w:val="en-NZ"/>
              </w:rPr>
            </w:pPr>
            <w:r w:rsidRPr="00ED69AD">
              <w:t>Update record management system and record audit results.</w:t>
            </w:r>
          </w:p>
        </w:tc>
      </w:tr>
      <w:tr w:rsidTr="00ED69A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D69AD">
            <w:pPr>
              <w:pStyle w:val="BodyText"/>
              <w:rPr>
                <w:lang w:val="en-NZ"/>
              </w:rPr>
            </w:pPr>
            <w:r w:rsidRPr="00ED69AD">
              <w:t>6.4</w:t>
            </w:r>
          </w:p>
        </w:tc>
        <w:tc>
          <w:tcPr>
            <w:tcW w:w="5659" w:type="dxa"/>
            <w:tcBorders>
              <w:top w:val="nil"/>
              <w:left w:val="nil"/>
              <w:bottom w:val="nil"/>
              <w:right w:val="nil"/>
            </w:tcBorders>
            <w:tcMar>
              <w:top w:w="0" w:type="dxa"/>
              <w:left w:w="62" w:type="dxa"/>
              <w:bottom w:w="0" w:type="dxa"/>
              <w:right w:w="62" w:type="dxa"/>
            </w:tcMar>
          </w:tcPr>
          <w:p w:rsidR="00000000" w:rsidP="00ED69AD">
            <w:pPr>
              <w:pStyle w:val="BodyText"/>
              <w:rPr>
                <w:lang w:val="en-NZ"/>
              </w:rPr>
            </w:pPr>
            <w:r w:rsidRPr="00ED69AD">
              <w:t>Prepare non-compliance report, including options for syst</w:t>
            </w:r>
            <w:r w:rsidRPr="00ED69AD">
              <w:t>em improvement, and forward to relevant persons according to regulatory and workplace requirements.</w:t>
            </w:r>
          </w:p>
        </w:tc>
      </w:tr>
      <w:tr w:rsidTr="00ED69AD">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ED69AD">
            <w:pPr>
              <w:pStyle w:val="BodyText"/>
              <w:rPr>
                <w:lang w:val="en-NZ"/>
              </w:rPr>
            </w:pPr>
          </w:p>
        </w:tc>
      </w:tr>
      <w:tr w:rsidTr="00ED69AD">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ED69AD">
            <w:pPr>
              <w:pStyle w:val="BodyText"/>
              <w:rPr>
                <w:lang w:val="en-NZ"/>
              </w:rPr>
            </w:pPr>
            <w:r w:rsidRPr="00ED69AD">
              <w:t>7</w:t>
            </w:r>
          </w:p>
        </w:tc>
        <w:tc>
          <w:tcPr>
            <w:tcW w:w="2357" w:type="dxa"/>
            <w:vMerge w:val="restart"/>
            <w:tcBorders>
              <w:top w:val="nil"/>
              <w:left w:val="nil"/>
              <w:bottom w:val="nil"/>
              <w:right w:val="nil"/>
            </w:tcBorders>
            <w:tcMar>
              <w:top w:w="0" w:type="dxa"/>
              <w:left w:w="62" w:type="dxa"/>
              <w:bottom w:w="0" w:type="dxa"/>
              <w:right w:w="62" w:type="dxa"/>
            </w:tcMar>
          </w:tcPr>
          <w:p w:rsidR="00000000" w:rsidP="00ED69AD">
            <w:pPr>
              <w:pStyle w:val="BodyText"/>
              <w:rPr>
                <w:lang w:val="en-NZ"/>
              </w:rPr>
            </w:pPr>
            <w:r w:rsidRPr="00ED69AD">
              <w:t>Monitor storage container security.</w:t>
            </w:r>
          </w:p>
        </w:tc>
        <w:tc>
          <w:tcPr>
            <w:tcW w:w="804" w:type="dxa"/>
            <w:tcBorders>
              <w:top w:val="nil"/>
              <w:left w:val="nil"/>
              <w:bottom w:val="nil"/>
              <w:right w:val="nil"/>
            </w:tcBorders>
            <w:tcMar>
              <w:top w:w="0" w:type="dxa"/>
              <w:left w:w="62" w:type="dxa"/>
              <w:bottom w:w="0" w:type="dxa"/>
              <w:right w:w="62" w:type="dxa"/>
            </w:tcMar>
          </w:tcPr>
          <w:p w:rsidR="00000000" w:rsidP="00ED69AD">
            <w:pPr>
              <w:pStyle w:val="BodyText"/>
              <w:rPr>
                <w:lang w:val="en-NZ"/>
              </w:rPr>
            </w:pPr>
            <w:r w:rsidRPr="00ED69AD">
              <w:t>7.1</w:t>
            </w:r>
          </w:p>
        </w:tc>
        <w:tc>
          <w:tcPr>
            <w:tcW w:w="5659" w:type="dxa"/>
            <w:tcBorders>
              <w:top w:val="nil"/>
              <w:left w:val="nil"/>
              <w:bottom w:val="nil"/>
              <w:right w:val="nil"/>
            </w:tcBorders>
            <w:tcMar>
              <w:top w:w="0" w:type="dxa"/>
              <w:left w:w="62" w:type="dxa"/>
              <w:bottom w:w="0" w:type="dxa"/>
              <w:right w:w="62" w:type="dxa"/>
            </w:tcMar>
          </w:tcPr>
          <w:p w:rsidR="00000000" w:rsidP="00ED69AD">
            <w:pPr>
              <w:pStyle w:val="BodyText"/>
              <w:rPr>
                <w:lang w:val="en-NZ"/>
              </w:rPr>
            </w:pPr>
            <w:r w:rsidRPr="00ED69AD">
              <w:t>Identify security system components according to manufacturer requirements.</w:t>
            </w:r>
          </w:p>
        </w:tc>
      </w:tr>
      <w:tr w:rsidTr="00ED69A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D69AD">
            <w:pPr>
              <w:pStyle w:val="BodyText"/>
              <w:rPr>
                <w:lang w:val="en-NZ"/>
              </w:rPr>
            </w:pPr>
            <w:r w:rsidRPr="00ED69AD">
              <w:t>7.2</w:t>
            </w:r>
          </w:p>
        </w:tc>
        <w:tc>
          <w:tcPr>
            <w:tcW w:w="5659" w:type="dxa"/>
            <w:tcBorders>
              <w:top w:val="nil"/>
              <w:left w:val="nil"/>
              <w:bottom w:val="nil"/>
              <w:right w:val="nil"/>
            </w:tcBorders>
            <w:tcMar>
              <w:top w:w="0" w:type="dxa"/>
              <w:left w:w="62" w:type="dxa"/>
              <w:bottom w:w="0" w:type="dxa"/>
              <w:right w:w="62" w:type="dxa"/>
            </w:tcMar>
          </w:tcPr>
          <w:p w:rsidR="00000000" w:rsidP="00ED69AD">
            <w:pPr>
              <w:pStyle w:val="BodyText"/>
              <w:rPr>
                <w:lang w:val="en-NZ"/>
              </w:rPr>
            </w:pPr>
            <w:r w:rsidRPr="00ED69AD">
              <w:t>Interpret security system information to detect security incident.</w:t>
            </w:r>
          </w:p>
        </w:tc>
      </w:tr>
      <w:tr w:rsidTr="00ED69A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D69AD">
            <w:pPr>
              <w:pStyle w:val="BodyText"/>
              <w:rPr>
                <w:lang w:val="en-NZ"/>
              </w:rPr>
            </w:pPr>
            <w:r w:rsidRPr="00ED69AD">
              <w:t>7.3</w:t>
            </w:r>
          </w:p>
        </w:tc>
        <w:tc>
          <w:tcPr>
            <w:tcW w:w="5659" w:type="dxa"/>
            <w:tcBorders>
              <w:top w:val="nil"/>
              <w:left w:val="nil"/>
              <w:bottom w:val="nil"/>
              <w:right w:val="nil"/>
            </w:tcBorders>
            <w:tcMar>
              <w:top w:w="0" w:type="dxa"/>
              <w:left w:w="62" w:type="dxa"/>
              <w:bottom w:w="0" w:type="dxa"/>
              <w:right w:w="62" w:type="dxa"/>
            </w:tcMar>
          </w:tcPr>
          <w:p w:rsidR="00000000" w:rsidP="00ED69AD">
            <w:pPr>
              <w:pStyle w:val="BodyText"/>
              <w:rPr>
                <w:lang w:val="en-NZ"/>
              </w:rPr>
            </w:pPr>
            <w:r w:rsidRPr="00ED69AD">
              <w:t>Identify cause or source of detected security incident and respond to incident according to workplace requirements.</w:t>
            </w:r>
          </w:p>
        </w:tc>
      </w:tr>
      <w:tr w:rsidTr="00ED69A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D69AD">
            <w:pPr>
              <w:pStyle w:val="BodyText"/>
              <w:rPr>
                <w:lang w:val="en-NZ"/>
              </w:rPr>
            </w:pPr>
            <w:r w:rsidRPr="00ED69AD">
              <w:t>7.4</w:t>
            </w:r>
          </w:p>
        </w:tc>
        <w:tc>
          <w:tcPr>
            <w:tcW w:w="5659" w:type="dxa"/>
            <w:tcBorders>
              <w:top w:val="nil"/>
              <w:left w:val="nil"/>
              <w:bottom w:val="nil"/>
              <w:right w:val="nil"/>
            </w:tcBorders>
            <w:tcMar>
              <w:top w:w="0" w:type="dxa"/>
              <w:left w:w="62" w:type="dxa"/>
              <w:bottom w:w="0" w:type="dxa"/>
              <w:right w:w="62" w:type="dxa"/>
            </w:tcMar>
          </w:tcPr>
          <w:p w:rsidR="00000000" w:rsidP="00ED69AD">
            <w:pPr>
              <w:pStyle w:val="BodyText"/>
              <w:rPr>
                <w:lang w:val="en-NZ"/>
              </w:rPr>
            </w:pPr>
            <w:r w:rsidRPr="00ED69AD">
              <w:t xml:space="preserve">Participate in investigation of detected security incident </w:t>
            </w:r>
            <w:r w:rsidRPr="00ED69AD">
              <w:t>and suggest recommendations for improvements to security system according to workplace requirements.</w:t>
            </w:r>
          </w:p>
        </w:tc>
      </w:tr>
      <w:tr w:rsidTr="00ED69A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D69AD">
            <w:pPr>
              <w:pStyle w:val="BodyText"/>
              <w:rPr>
                <w:lang w:val="en-NZ"/>
              </w:rPr>
            </w:pPr>
            <w:r w:rsidRPr="00ED69AD">
              <w:t>7.5</w:t>
            </w:r>
          </w:p>
        </w:tc>
        <w:tc>
          <w:tcPr>
            <w:tcW w:w="5659" w:type="dxa"/>
            <w:tcBorders>
              <w:top w:val="nil"/>
              <w:left w:val="nil"/>
              <w:bottom w:val="nil"/>
              <w:right w:val="nil"/>
            </w:tcBorders>
            <w:tcMar>
              <w:top w:w="0" w:type="dxa"/>
              <w:left w:w="62" w:type="dxa"/>
              <w:bottom w:w="0" w:type="dxa"/>
              <w:right w:w="62" w:type="dxa"/>
            </w:tcMar>
          </w:tcPr>
          <w:p w:rsidR="00000000" w:rsidRPr="00ED69AD" w:rsidP="00ED69AD">
            <w:pPr>
              <w:pStyle w:val="BodyText"/>
            </w:pPr>
            <w:r w:rsidRPr="00ED69AD">
              <w:t>Prepare security incident report and forward to relevant persons according to regulatory and workplace requirements.</w:t>
            </w:r>
          </w:p>
        </w:tc>
      </w:tr>
    </w:tbl>
    <w:p w:rsidR="00000000" w:rsidRPr="00ED69AD" w:rsidP="00ED69AD">
      <w:pPr>
        <w:pStyle w:val="BodyText"/>
      </w:pPr>
    </w:p>
    <w:p w:rsidR="00000000" w:rsidRPr="00ED69AD" w:rsidP="00ED69AD">
      <w:pPr>
        <w:pStyle w:val="AllowPageBreak"/>
      </w:pPr>
    </w:p>
    <w:p w:rsidR="00000000" w:rsidRPr="00ED69AD" w:rsidP="00ED69AD">
      <w:pPr>
        <w:pStyle w:val="Heading1"/>
      </w:pPr>
      <w:bookmarkStart w:id="6" w:name="O_1163661"/>
      <w:bookmarkEnd w:id="6"/>
      <w:r w:rsidRPr="00ED69AD">
        <w:t>Foundation Skills</w:t>
      </w:r>
    </w:p>
    <w:p w:rsidR="00000000" w:rsidRPr="00ED69AD" w:rsidP="00450E01">
      <w:pPr>
        <w:pStyle w:val="BodyText"/>
      </w:pPr>
      <w:r w:rsidRPr="00ED69AD">
        <w:t>Foundation skills essential to performance are explicit in the performance criteria of this unit of competency.</w:t>
      </w:r>
    </w:p>
    <w:p w:rsidR="00000000" w:rsidRPr="00ED69AD" w:rsidP="00ED69AD">
      <w:pPr>
        <w:pStyle w:val="Heading1"/>
      </w:pPr>
      <w:bookmarkStart w:id="7" w:name="O_1163660"/>
      <w:bookmarkEnd w:id="7"/>
      <w:r w:rsidRPr="00ED69AD">
        <w:t>Unit Mapping Information</w:t>
      </w:r>
    </w:p>
    <w:p w:rsidR="00000000" w:rsidRPr="00ED69AD" w:rsidP="00450E01">
      <w:pPr>
        <w:pStyle w:val="BodyText"/>
      </w:pPr>
      <w:r w:rsidRPr="00ED69AD">
        <w:t>Supersedes and is equivalent to CPPFES2050A Monitor storage operations for schedul</w:t>
      </w:r>
      <w:r w:rsidRPr="00ED69AD">
        <w:t>ed gaseous fire-extinguishing agents.</w:t>
      </w:r>
    </w:p>
    <w:p w:rsidR="00000000" w:rsidRPr="00ED69AD" w:rsidP="00ED69AD">
      <w:pPr>
        <w:pStyle w:val="Heading1"/>
      </w:pPr>
      <w:bookmarkStart w:id="8" w:name="O_1163653"/>
      <w:bookmarkEnd w:id="8"/>
      <w:r w:rsidRPr="00ED69AD">
        <w:t>Links</w:t>
      </w:r>
    </w:p>
    <w:p w:rsidR="00000000" w:rsidRPr="00ED69AD" w:rsidP="00450E01">
      <w:pPr>
        <w:pStyle w:val="BodyText"/>
      </w:pPr>
      <w:r w:rsidRPr="00ED69AD">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A45F27">
        <w:rPr>
          <w:rStyle w:val="Hyperlink"/>
        </w:rPr>
        <w:t>https://vetnet.gov.au/Pages/TrainingDocs.aspx?q=6f3f9672-30e8-4835-b348-205dfcf13d9b</w:t>
      </w:r>
      <w:r>
        <w:fldChar w:fldCharType="end"/>
      </w:r>
    </w:p>
    <w:p w:rsidR="00000000" w:rsidRPr="00ED69AD" w:rsidP="00450E01">
      <w:pPr>
        <w:pStyle w:val="BodyText"/>
        <w:sectPr w:rsidSect="00ED69AD">
          <w:headerReference w:type="default" r:id="rId10"/>
          <w:footerReference w:type="default" r:id="rId11"/>
          <w:pgSz w:w="11908" w:h="16833"/>
          <w:pgMar w:top="1702" w:right="1418" w:bottom="1702" w:left="1418" w:header="992" w:footer="992" w:gutter="0"/>
          <w:cols w:space="720"/>
          <w:noEndnote/>
          <w:docGrid w:linePitch="299"/>
        </w:sectPr>
      </w:pPr>
    </w:p>
    <w:p w:rsidR="00000000" w:rsidRPr="00ED69AD" w:rsidP="00ED69AD">
      <w:pPr>
        <w:pStyle w:val="SuperHeading"/>
      </w:pPr>
      <w:r w:rsidRPr="00ED69AD">
        <w:t>Assessment Requirements for CPPFES2050 Monitor storage operations for scheduled gaseous fire-extinguishing agents</w:t>
      </w:r>
    </w:p>
    <w:p w:rsidR="00000000" w:rsidRPr="00ED69AD" w:rsidP="00ED69AD">
      <w:pPr>
        <w:pStyle w:val="Heading1"/>
      </w:pPr>
      <w:bookmarkStart w:id="9" w:name="O_1163655"/>
      <w:bookmarkEnd w:id="9"/>
      <w:r w:rsidRPr="00ED69AD">
        <w:t>Modification History</w:t>
      </w:r>
    </w:p>
    <w:tbl>
      <w:tblPr>
        <w:tblW w:w="0" w:type="auto"/>
        <w:tblLayout w:type="fixed"/>
        <w:tblCellMar>
          <w:left w:w="62" w:type="dxa"/>
          <w:right w:w="62" w:type="dxa"/>
        </w:tblCellMar>
        <w:tblLook w:val="0000"/>
      </w:tblPr>
      <w:tblGrid>
        <w:gridCol w:w="1305"/>
        <w:gridCol w:w="7597"/>
      </w:tblGrid>
      <w:tr w:rsidTr="00ED69AD">
        <w:tblPrEx>
          <w:tblW w:w="0" w:type="auto"/>
          <w:tblLayout w:type="fixed"/>
          <w:tblCellMar>
            <w:left w:w="62" w:type="dxa"/>
            <w:right w:w="62" w:type="dxa"/>
          </w:tblCellMar>
          <w:tblLook w:val="0000"/>
        </w:tblPrEx>
        <w:tc>
          <w:tcPr>
            <w:tcW w:w="1305" w:type="dxa"/>
            <w:tcBorders>
              <w:top w:val="nil"/>
              <w:left w:val="nil"/>
              <w:bottom w:val="nil"/>
              <w:right w:val="nil"/>
            </w:tcBorders>
            <w:tcMar>
              <w:top w:w="0" w:type="dxa"/>
              <w:left w:w="62" w:type="dxa"/>
              <w:bottom w:w="0" w:type="dxa"/>
              <w:right w:w="62" w:type="dxa"/>
            </w:tcMar>
          </w:tcPr>
          <w:p w:rsidR="00000000" w:rsidP="00ED69AD">
            <w:pPr>
              <w:pStyle w:val="BodyText"/>
              <w:rPr>
                <w:lang w:val="en-NZ"/>
              </w:rPr>
            </w:pPr>
            <w:r w:rsidRPr="00ED69AD">
              <w:t>Release 1</w:t>
            </w:r>
          </w:p>
        </w:tc>
        <w:tc>
          <w:tcPr>
            <w:tcW w:w="7597" w:type="dxa"/>
            <w:tcBorders>
              <w:top w:val="nil"/>
              <w:left w:val="nil"/>
              <w:bottom w:val="nil"/>
              <w:right w:val="nil"/>
            </w:tcBorders>
            <w:tcMar>
              <w:top w:w="0" w:type="dxa"/>
              <w:left w:w="62" w:type="dxa"/>
              <w:bottom w:w="0" w:type="dxa"/>
              <w:right w:w="62" w:type="dxa"/>
            </w:tcMar>
          </w:tcPr>
          <w:p w:rsidR="00000000" w:rsidRPr="00ED69AD" w:rsidP="00ED69AD">
            <w:pPr>
              <w:pStyle w:val="BodyText"/>
            </w:pPr>
            <w:r w:rsidRPr="00ED69AD">
              <w:t xml:space="preserve">This version first released with CPP Property Services Training Package </w:t>
            </w:r>
            <w:r w:rsidRPr="00ED69AD">
              <w:t>Release 13.0.</w:t>
            </w:r>
          </w:p>
          <w:p w:rsidR="00000000" w:rsidRPr="00ED69AD" w:rsidP="00ED69AD">
            <w:pPr>
              <w:pStyle w:val="BodyText"/>
            </w:pPr>
            <w:r w:rsidRPr="00ED69AD">
              <w:t>Supersedes and is equivalent to CPPFES2050A Monitor storage operations for scheduled gaseous fire-extinguishing agents.  Unit updated to meet the Standards for Training Packages 2012.</w:t>
            </w:r>
          </w:p>
        </w:tc>
      </w:tr>
    </w:tbl>
    <w:p w:rsidR="00000000" w:rsidRPr="00ED69AD" w:rsidP="00ED69AD">
      <w:pPr>
        <w:pStyle w:val="BodyText"/>
      </w:pPr>
    </w:p>
    <w:p w:rsidR="00000000" w:rsidRPr="00ED69AD" w:rsidP="00ED69AD">
      <w:pPr>
        <w:pStyle w:val="AllowPageBreak"/>
      </w:pPr>
    </w:p>
    <w:p w:rsidR="00000000" w:rsidRPr="00ED69AD" w:rsidP="00ED69AD">
      <w:pPr>
        <w:pStyle w:val="Heading1"/>
      </w:pPr>
      <w:bookmarkStart w:id="10" w:name="O_1163658"/>
      <w:bookmarkEnd w:id="10"/>
      <w:r w:rsidRPr="00ED69AD">
        <w:t>Performance Evidence</w:t>
      </w:r>
    </w:p>
    <w:p w:rsidR="00000000" w:rsidRPr="00ED69AD" w:rsidP="00450E01">
      <w:pPr>
        <w:pStyle w:val="BodyText"/>
      </w:pPr>
      <w:r w:rsidRPr="00ED69AD">
        <w:t>To demonstrate c</w:t>
      </w:r>
      <w:r w:rsidRPr="00ED69AD">
        <w:t>ompetency, a candidate must meet the elements and performance criteria of this unit by monitoring storage operations for scheduled gaseous fire-extinguishing agents on two separate occasions.</w:t>
      </w:r>
    </w:p>
    <w:p w:rsidR="00000000" w:rsidRPr="00ED69AD" w:rsidP="00ED69AD">
      <w:pPr>
        <w:pStyle w:val="Heading1"/>
      </w:pPr>
      <w:bookmarkStart w:id="11" w:name="O_1163657"/>
      <w:bookmarkEnd w:id="11"/>
      <w:r w:rsidRPr="00ED69AD">
        <w:t>Knowledge Evidence</w:t>
      </w:r>
    </w:p>
    <w:p w:rsidR="00000000" w:rsidRPr="00ED69AD" w:rsidP="00450E01">
      <w:pPr>
        <w:pStyle w:val="BodyText"/>
      </w:pPr>
      <w:r w:rsidRPr="00ED69AD">
        <w:t>To be competent in this un</w:t>
      </w:r>
      <w:r w:rsidRPr="00ED69AD">
        <w:t>it, a candidate must demonstrate knowledge of:</w:t>
      </w:r>
    </w:p>
    <w:p w:rsidR="00000000" w:rsidRPr="00ED69AD" w:rsidP="00ED69AD">
      <w:pPr>
        <w:pStyle w:val="ListBullet"/>
      </w:pPr>
      <w:r w:rsidRPr="00ED69AD">
        <w:t>action to take when a breach of work health and safety (WHS), ozone depleting substances (ODS) and synthetic greenhouse gases (SGG) regulation or other policy occurs when monitoring storage operations for sch</w:t>
      </w:r>
      <w:r w:rsidRPr="00ED69AD">
        <w:t>eduled gaseous fire-extinguishing agents</w:t>
      </w:r>
    </w:p>
    <w:p w:rsidR="00000000" w:rsidRPr="00ED69AD" w:rsidP="00ED69AD">
      <w:pPr>
        <w:pStyle w:val="ListBullet"/>
      </w:pPr>
      <w:r w:rsidRPr="00ED69AD">
        <w:t>audit processes used to track and monitor container movements and storage</w:t>
      </w:r>
    </w:p>
    <w:p w:rsidR="00000000" w:rsidRPr="00ED69AD" w:rsidP="00ED69AD">
      <w:pPr>
        <w:pStyle w:val="ListBullet"/>
      </w:pPr>
      <w:r w:rsidRPr="00ED69AD">
        <w:t>causes of:</w:t>
      </w:r>
    </w:p>
    <w:p w:rsidR="00000000" w:rsidRPr="00ED69AD" w:rsidP="00ED69AD">
      <w:pPr>
        <w:pStyle w:val="ListBullet2"/>
      </w:pPr>
      <w:r w:rsidRPr="00ED69AD">
        <w:t>emissions from ODS and SGG storage containers</w:t>
      </w:r>
    </w:p>
    <w:p w:rsidR="00000000" w:rsidRPr="00ED69AD" w:rsidP="00ED69AD">
      <w:pPr>
        <w:pStyle w:val="ListBullet2"/>
      </w:pPr>
      <w:r w:rsidRPr="00ED69AD">
        <w:t>security incidents related to ODS and SGG storage containers</w:t>
      </w:r>
    </w:p>
    <w:p w:rsidR="00000000" w:rsidRPr="00ED69AD" w:rsidP="00ED69AD">
      <w:pPr>
        <w:pStyle w:val="ListBullet"/>
      </w:pPr>
      <w:r w:rsidRPr="00ED69AD">
        <w:t>correct manual-handling aids and techniques</w:t>
      </w:r>
    </w:p>
    <w:p w:rsidR="00000000" w:rsidRPr="00ED69AD" w:rsidP="00ED69AD">
      <w:pPr>
        <w:pStyle w:val="ListBullet"/>
      </w:pPr>
      <w:r w:rsidRPr="00ED69AD">
        <w:t>emission detection and security monitoring data</w:t>
      </w:r>
    </w:p>
    <w:p w:rsidR="00000000" w:rsidRPr="00ED69AD" w:rsidP="00ED69AD">
      <w:pPr>
        <w:pStyle w:val="ListBullet"/>
      </w:pPr>
      <w:r w:rsidRPr="00ED69AD">
        <w:t>implications of ignoring safety precautions used with emission monitoring, security incident identification and audit processing of storage containers</w:t>
      </w:r>
    </w:p>
    <w:p w:rsidR="00000000" w:rsidRPr="00ED69AD" w:rsidP="00ED69AD">
      <w:pPr>
        <w:pStyle w:val="ListBullet"/>
      </w:pPr>
      <w:r w:rsidRPr="00ED69AD">
        <w:t xml:space="preserve">key features </w:t>
      </w:r>
      <w:r w:rsidRPr="00ED69AD">
        <w:t>of legislation, regulations, Australian Standards and licensing relevant to monitoring and storing scheduled gaseous fire-extinguishing agents:</w:t>
      </w:r>
    </w:p>
    <w:p w:rsidR="00000000" w:rsidRPr="00ED69AD" w:rsidP="00ED69AD">
      <w:pPr>
        <w:pStyle w:val="ListBullet2"/>
      </w:pPr>
      <w:r w:rsidRPr="00ED69AD">
        <w:t>environmental protection, ODS and SGG emission requirements</w:t>
      </w:r>
    </w:p>
    <w:p w:rsidR="00000000" w:rsidRPr="00ED69AD" w:rsidP="00ED69AD">
      <w:pPr>
        <w:pStyle w:val="ListBullet2"/>
      </w:pPr>
      <w:r w:rsidRPr="00ED69AD">
        <w:t>extinguishing agent handling licence (EAHL) require</w:t>
      </w:r>
      <w:r w:rsidRPr="00ED69AD">
        <w:t>ments</w:t>
      </w:r>
    </w:p>
    <w:p w:rsidR="00000000" w:rsidRPr="00ED69AD" w:rsidP="00ED69AD">
      <w:pPr>
        <w:pStyle w:val="ListBullet2"/>
      </w:pPr>
      <w:r w:rsidRPr="00ED69AD">
        <w:t>records and documentation</w:t>
      </w:r>
    </w:p>
    <w:p w:rsidR="00000000" w:rsidRPr="00ED69AD" w:rsidP="00ED69AD">
      <w:pPr>
        <w:pStyle w:val="ListBullet"/>
      </w:pPr>
      <w:r w:rsidRPr="00ED69AD">
        <w:t>manual-handling techniques and aids to move gaseous fire-extinguishing agent containers</w:t>
      </w:r>
    </w:p>
    <w:p w:rsidR="00000000" w:rsidRPr="00ED69AD" w:rsidP="00ED69AD">
      <w:pPr>
        <w:pStyle w:val="ListBullet"/>
      </w:pPr>
      <w:r w:rsidRPr="00ED69AD">
        <w:t>methods for:</w:t>
      </w:r>
    </w:p>
    <w:p w:rsidR="00000000" w:rsidRPr="00ED69AD" w:rsidP="00ED69AD">
      <w:pPr>
        <w:pStyle w:val="ListBullet2"/>
      </w:pPr>
      <w:r w:rsidRPr="00ED69AD">
        <w:t>investigating detected emissions and security incidents</w:t>
      </w:r>
    </w:p>
    <w:p w:rsidR="00000000" w:rsidRPr="00ED69AD" w:rsidP="00ED69AD">
      <w:pPr>
        <w:pStyle w:val="ListBullet2"/>
      </w:pPr>
      <w:r w:rsidRPr="00ED69AD">
        <w:t>leak detection testing</w:t>
      </w:r>
    </w:p>
    <w:p w:rsidR="00000000" w:rsidRPr="00ED69AD" w:rsidP="00ED69AD">
      <w:pPr>
        <w:pStyle w:val="ListBullet"/>
      </w:pPr>
      <w:r w:rsidRPr="00ED69AD">
        <w:t>personal risk assessment and cont</w:t>
      </w:r>
      <w:r w:rsidRPr="00ED69AD">
        <w:t>rol processes, from hazard identification through to action</w:t>
      </w:r>
    </w:p>
    <w:p w:rsidR="00000000" w:rsidRPr="00ED69AD" w:rsidP="00ED69AD">
      <w:pPr>
        <w:pStyle w:val="ListBullet"/>
      </w:pPr>
      <w:r w:rsidRPr="00ED69AD">
        <w:t>reasons and methods for preventing ODS and SGG emissions in the workplace</w:t>
      </w:r>
    </w:p>
    <w:p w:rsidR="00000000" w:rsidRPr="00ED69AD" w:rsidP="00ED69AD">
      <w:pPr>
        <w:pStyle w:val="ListBullet"/>
      </w:pPr>
      <w:r w:rsidRPr="00ED69AD">
        <w:t>types of:</w:t>
      </w:r>
    </w:p>
    <w:p w:rsidR="00000000" w:rsidRPr="00ED69AD" w:rsidP="00ED69AD">
      <w:pPr>
        <w:pStyle w:val="ListBullet2"/>
      </w:pPr>
      <w:r w:rsidRPr="00ED69AD">
        <w:t>containers used for storage of ODS and SGG materials</w:t>
      </w:r>
    </w:p>
    <w:p w:rsidR="00000000" w:rsidRPr="00ED69AD" w:rsidP="00ED69AD">
      <w:pPr>
        <w:pStyle w:val="ListBullet2"/>
      </w:pPr>
      <w:r w:rsidRPr="00ED69AD">
        <w:t>labels, numbers and codes used on ODS and SGG storage cont</w:t>
      </w:r>
      <w:r w:rsidRPr="00ED69AD">
        <w:t>ainers</w:t>
      </w:r>
    </w:p>
    <w:p w:rsidR="00000000" w:rsidRPr="00ED69AD" w:rsidP="00ED69AD">
      <w:pPr>
        <w:pStyle w:val="ListBullet2"/>
      </w:pPr>
      <w:r w:rsidRPr="00ED69AD">
        <w:t xml:space="preserve">materials found in ODS and SGG storage containers </w:t>
      </w:r>
    </w:p>
    <w:p w:rsidR="00000000" w:rsidRPr="00ED69AD" w:rsidP="00ED69AD">
      <w:pPr>
        <w:pStyle w:val="ListBullet"/>
      </w:pPr>
      <w:r w:rsidRPr="00ED69AD">
        <w:t xml:space="preserve">types and purpose of tools and equipment used when monitoring storage operations for scheduled gaseous </w:t>
      </w:r>
      <w:r w:rsidRPr="00ED69AD">
        <w:t>fire-extinguishing agents:</w:t>
      </w:r>
    </w:p>
    <w:p w:rsidR="00000000" w:rsidRPr="00ED69AD" w:rsidP="00ED69AD">
      <w:pPr>
        <w:pStyle w:val="ListBullet2"/>
      </w:pPr>
      <w:r w:rsidRPr="00ED69AD">
        <w:t>leak detection devices</w:t>
      </w:r>
    </w:p>
    <w:p w:rsidR="00000000" w:rsidRPr="00ED69AD" w:rsidP="00ED69AD">
      <w:pPr>
        <w:pStyle w:val="ListBullet2"/>
      </w:pPr>
      <w:r w:rsidRPr="00ED69AD">
        <w:t>manual-handling aids</w:t>
      </w:r>
    </w:p>
    <w:p w:rsidR="00000000" w:rsidRPr="00ED69AD" w:rsidP="00ED69AD">
      <w:pPr>
        <w:pStyle w:val="ListBullet2"/>
      </w:pPr>
      <w:r w:rsidRPr="00ED69AD">
        <w:t>personal protective eq</w:t>
      </w:r>
      <w:r w:rsidRPr="00ED69AD">
        <w:t>uipment (PPE)</w:t>
      </w:r>
    </w:p>
    <w:p w:rsidR="00000000" w:rsidRPr="00ED69AD" w:rsidP="00ED69AD">
      <w:pPr>
        <w:pStyle w:val="ListBullet"/>
      </w:pPr>
      <w:r w:rsidRPr="00ED69AD">
        <w:t>workplace requirements for monitoring storage operations for scheduled gaseous fire-extinguishing agents:</w:t>
      </w:r>
    </w:p>
    <w:p w:rsidR="00000000" w:rsidRPr="00ED69AD" w:rsidP="00ED69AD">
      <w:pPr>
        <w:pStyle w:val="ListBullet2"/>
      </w:pPr>
      <w:r w:rsidRPr="00ED69AD">
        <w:t>maintenance of tools and equipment</w:t>
      </w:r>
    </w:p>
    <w:p w:rsidR="00000000" w:rsidRPr="00ED69AD" w:rsidP="00ED69AD">
      <w:pPr>
        <w:pStyle w:val="ListBullet2"/>
      </w:pPr>
      <w:r w:rsidRPr="00ED69AD">
        <w:t>WHS, including hazard and risk identification and control.</w:t>
      </w:r>
    </w:p>
    <w:p w:rsidR="00000000" w:rsidRPr="00ED69AD" w:rsidP="00ED69AD">
      <w:pPr>
        <w:pStyle w:val="AllowPageBreak"/>
      </w:pPr>
    </w:p>
    <w:p w:rsidR="00000000" w:rsidRPr="00ED69AD" w:rsidP="00ED69AD">
      <w:pPr>
        <w:pStyle w:val="Heading1"/>
      </w:pPr>
      <w:bookmarkStart w:id="12" w:name="O_1163656"/>
      <w:bookmarkEnd w:id="12"/>
      <w:r w:rsidRPr="00ED69AD">
        <w:t>Assessment Conditions</w:t>
      </w:r>
    </w:p>
    <w:p w:rsidR="00000000" w:rsidRPr="00ED69AD" w:rsidP="00450E01">
      <w:pPr>
        <w:pStyle w:val="BodyText"/>
      </w:pPr>
      <w:r w:rsidRPr="00ED69AD">
        <w:t xml:space="preserve">Assessors must meet the requirements for assessors contained in the Standards for Registered Training Organisations. </w:t>
      </w:r>
    </w:p>
    <w:p w:rsidR="00000000" w:rsidRPr="00ED69AD" w:rsidP="00450E01">
      <w:pPr>
        <w:pStyle w:val="BodyText"/>
      </w:pPr>
      <w:r w:rsidRPr="00ED69AD">
        <w:t>Assessment must be conducted in the workplace or a simulated workplace using realistic conditions, materials, activities, responsibilitie</w:t>
      </w:r>
      <w:r w:rsidRPr="00ED69AD">
        <w:t>s, procedures, safety requirements and environmental considerations.</w:t>
      </w:r>
    </w:p>
    <w:p w:rsidR="00000000" w:rsidRPr="00ED69AD" w:rsidP="00450E01">
      <w:pPr>
        <w:pStyle w:val="BodyText"/>
      </w:pPr>
      <w:r w:rsidRPr="00ED69AD">
        <w:t>Candidates must have access to documentation, tools, equipment, storage site and containers required to achieve the performance evidence.</w:t>
      </w:r>
    </w:p>
    <w:p w:rsidR="00000000" w:rsidRPr="00ED69AD" w:rsidP="00ED69AD">
      <w:pPr>
        <w:pStyle w:val="Heading1"/>
      </w:pPr>
      <w:bookmarkStart w:id="13" w:name="O_1163654"/>
      <w:bookmarkEnd w:id="13"/>
      <w:r w:rsidRPr="00ED69AD">
        <w:t>Links</w:t>
      </w:r>
    </w:p>
    <w:p w:rsidR="00000000" w:rsidRPr="00ED69AD" w:rsidP="00450E01">
      <w:pPr>
        <w:pStyle w:val="BodyText"/>
      </w:pPr>
      <w:r w:rsidRPr="00ED69AD">
        <w:t>Companion volumes to thi</w:t>
      </w:r>
      <w:r w:rsidRPr="00ED69AD">
        <w:t xml:space="preserve">s training package are available at the VETNet website - </w:t>
      </w:r>
      <w:r>
        <w:fldChar w:fldCharType="begin"/>
      </w:r>
      <w:r>
        <w:instrText xml:space="preserve"> HYPERLINK "https://vetnet.gov.au/Pages/TrainingDocs.aspx?q=6f3f9672-30e8-4835-b348-205dfcf13d9b" </w:instrText>
      </w:r>
      <w:r>
        <w:fldChar w:fldCharType="separate"/>
      </w:r>
      <w:r w:rsidRPr="00A45F27">
        <w:rPr>
          <w:rStyle w:val="Hyperlink"/>
        </w:rPr>
        <w:t>https://vetnet.gov.au/Pages/TrainingDocs.aspx?q=6f3f9672-30e8-4835-b348-205dfcf13d9b</w:t>
      </w:r>
      <w:r>
        <w:fldChar w:fldCharType="end"/>
      </w:r>
    </w:p>
    <w:p w:rsidR="00000000" w:rsidRPr="00ED69AD" w:rsidP="00ED69AD"/>
    <w:sectPr w:rsidSect="00ED69A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9A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9AD" w:rsidRPr="00450E01" w:rsidP="00450E0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9A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E01" w:rsidP="00ED69A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50E01" w:rsidP="00ED69A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450E01" w:rsidP="00ED69A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9AD" w:rsidP="00ED69AD">
    <w:pPr>
      <w:pStyle w:val="Footer"/>
      <w:framePr w:wrap="around"/>
    </w:pPr>
    <w:r>
      <w:fldChar w:fldCharType="begin"/>
    </w:r>
    <w:r>
      <w:instrText xml:space="preserve"> DOCPROPERTY  Subject  \* MERGEFORMAT </w:instrText>
    </w:r>
    <w:r>
      <w:fldChar w:fldCharType="separate"/>
    </w:r>
    <w:r w:rsidR="00450E01">
      <w:t>Approved</w:t>
    </w:r>
    <w:r w:rsidR="00450E01">
      <w:fldChar w:fldCharType="end"/>
    </w:r>
    <w:r>
      <w:tab/>
      <w:t xml:space="preserve">Page </w:t>
    </w:r>
    <w:r>
      <w:fldChar w:fldCharType="begin"/>
    </w:r>
    <w:r>
      <w:instrText xml:space="preserve"> PAGE  \* Arabic  \* MERGEFORMAT </w:instrText>
    </w:r>
    <w:r>
      <w:fldChar w:fldCharType="separate"/>
    </w:r>
    <w:r w:rsidR="00450E0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50E01">
      <w:rPr>
        <w:noProof/>
      </w:rPr>
      <w:t>5</w:t>
    </w:r>
    <w:r>
      <w:rPr>
        <w:noProof/>
      </w:rPr>
      <w:fldChar w:fldCharType="end"/>
    </w:r>
  </w:p>
  <w:p w:rsidR="00ED69AD" w:rsidP="00ED69AD">
    <w:pPr>
      <w:pStyle w:val="Footer"/>
      <w:framePr w:wrap="around"/>
    </w:pPr>
    <w:r>
      <w:t xml:space="preserve">© Commonwealth of Australia, </w:t>
    </w:r>
    <w:r>
      <w:fldChar w:fldCharType="begin"/>
    </w:r>
    <w:r>
      <w:instrText xml:space="preserve"> DATE  \@ "yyyy"  \* MERGEFORMAT </w:instrText>
    </w:r>
    <w:r>
      <w:fldChar w:fldCharType="separate"/>
    </w:r>
    <w:r w:rsidR="00450E01">
      <w:rPr>
        <w:noProof/>
      </w:rPr>
      <w:t>2025</w:t>
    </w:r>
    <w:r>
      <w:fldChar w:fldCharType="end"/>
    </w:r>
    <w:r>
      <w:tab/>
    </w:r>
    <w:r>
      <w:fldChar w:fldCharType="begin"/>
    </w:r>
    <w:r>
      <w:instrText xml:space="preserve"> DOCPROPERTY  Author  \* MERGEFORMAT </w:instrText>
    </w:r>
    <w:r>
      <w:fldChar w:fldCharType="separate"/>
    </w:r>
    <w:r w:rsidR="00450E01">
      <w:t>BuildSkills Australia</w:t>
    </w:r>
    <w:r w:rsidR="00450E01">
      <w:fldChar w:fldCharType="end"/>
    </w:r>
  </w:p>
  <w:p w:rsidR="00ED69AD" w:rsidP="00ED69A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9A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E0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D69AD" w:rsidRPr="00450E01" w:rsidP="00450E0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9A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E01" w:rsidRPr="002D2AF8" w:rsidP="00ED69AD">
    <w:pPr>
      <w:pStyle w:val="Header"/>
      <w:framePr w:wrap="around"/>
    </w:pPr>
    <w:r>
      <w:fldChar w:fldCharType="begin"/>
    </w:r>
    <w:r>
      <w:instrText xml:space="preserve"> TITLE   \* MERGEFORMAT </w:instrText>
    </w:r>
    <w:r>
      <w:fldChar w:fldCharType="separate"/>
    </w:r>
    <w:r>
      <w:t>CPPFES2050 Monitor storage operations for scheduled gaseous fire-extinguishing agents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50E01" w:rsidP="00ED69A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9AD" w:rsidRPr="002D2AF8" w:rsidP="00ED69AD">
    <w:pPr>
      <w:pStyle w:val="Header"/>
      <w:framePr w:wrap="around"/>
    </w:pPr>
    <w:r>
      <w:fldChar w:fldCharType="begin"/>
    </w:r>
    <w:r>
      <w:instrText xml:space="preserve"> TITLE   \* MERGEFORMAT </w:instrText>
    </w:r>
    <w:r>
      <w:fldChar w:fldCharType="separate"/>
    </w:r>
    <w:r w:rsidR="00450E01">
      <w:t>CPPFES2050 Monitor storage operations for scheduled gaseous fire-extinguishing agents</w:t>
    </w:r>
    <w:r w:rsidR="00450E01">
      <w:fldChar w:fldCharType="end"/>
    </w:r>
    <w:r>
      <w:tab/>
      <w:t xml:space="preserve">Date this document was generated: </w:t>
    </w:r>
    <w:r>
      <w:fldChar w:fldCharType="begin"/>
    </w:r>
    <w:r>
      <w:instrText xml:space="preserve"> CREATEDATE  \@ "d MMMM yyyy"  \* MERGEFORMAT </w:instrText>
    </w:r>
    <w:r>
      <w:fldChar w:fldCharType="separate"/>
    </w:r>
    <w:r w:rsidR="00450E01">
      <w:rPr>
        <w:noProof/>
      </w:rPr>
      <w:t>2 March 2025</w:t>
    </w:r>
    <w:r>
      <w:fldChar w:fldCharType="end"/>
    </w:r>
  </w:p>
  <w:p w:rsidR="00ED69AD" w:rsidP="00ED69A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05634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92E7B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0C4F5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69A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D69AD"/>
    <w:pPr>
      <w:spacing w:before="360" w:after="60"/>
      <w:outlineLvl w:val="0"/>
    </w:pPr>
    <w:rPr>
      <w:sz w:val="32"/>
    </w:rPr>
  </w:style>
  <w:style w:type="paragraph" w:styleId="Heading2">
    <w:name w:val="heading 2"/>
    <w:basedOn w:val="HeadingBase"/>
    <w:next w:val="BodyText"/>
    <w:link w:val="Heading2Char"/>
    <w:qFormat/>
    <w:rsid w:val="00ED69AD"/>
    <w:pPr>
      <w:keepLines/>
      <w:spacing w:before="240" w:after="120"/>
      <w:outlineLvl w:val="1"/>
    </w:pPr>
    <w:rPr>
      <w:sz w:val="28"/>
      <w:szCs w:val="40"/>
    </w:rPr>
  </w:style>
  <w:style w:type="paragraph" w:styleId="Heading3">
    <w:name w:val="heading 3"/>
    <w:basedOn w:val="HeadingBase"/>
    <w:next w:val="BodyText"/>
    <w:link w:val="Heading3Char"/>
    <w:qFormat/>
    <w:rsid w:val="00ED69AD"/>
    <w:pPr>
      <w:spacing w:before="180" w:after="120"/>
      <w:outlineLvl w:val="2"/>
    </w:pPr>
    <w:rPr>
      <w:spacing w:val="-10"/>
      <w:kern w:val="32"/>
    </w:rPr>
  </w:style>
  <w:style w:type="paragraph" w:styleId="Heading4">
    <w:name w:val="heading 4"/>
    <w:basedOn w:val="HeadingBase"/>
    <w:next w:val="BodyText"/>
    <w:link w:val="Heading4Char"/>
    <w:qFormat/>
    <w:rsid w:val="00ED69AD"/>
    <w:pPr>
      <w:spacing w:before="160" w:after="120"/>
      <w:outlineLvl w:val="3"/>
    </w:pPr>
    <w:rPr>
      <w:sz w:val="22"/>
    </w:rPr>
  </w:style>
  <w:style w:type="paragraph" w:styleId="Heading5">
    <w:name w:val="heading 5"/>
    <w:basedOn w:val="HeadingBase"/>
    <w:next w:val="Normal"/>
    <w:link w:val="Heading5Char"/>
    <w:qFormat/>
    <w:rsid w:val="00ED69AD"/>
    <w:pPr>
      <w:spacing w:before="80"/>
      <w:outlineLvl w:val="4"/>
    </w:pPr>
    <w:rPr>
      <w:color w:val="918585"/>
      <w:sz w:val="20"/>
    </w:rPr>
  </w:style>
  <w:style w:type="paragraph" w:styleId="Heading6">
    <w:name w:val="heading 6"/>
    <w:basedOn w:val="HeadingBase"/>
    <w:next w:val="Normal"/>
    <w:link w:val="Heading6Char"/>
    <w:qFormat/>
    <w:rsid w:val="00ED69AD"/>
    <w:pPr>
      <w:spacing w:before="60"/>
      <w:outlineLvl w:val="5"/>
    </w:pPr>
    <w:rPr>
      <w:color w:val="918585"/>
      <w:sz w:val="20"/>
    </w:rPr>
  </w:style>
  <w:style w:type="paragraph" w:styleId="Heading7">
    <w:name w:val="heading 7"/>
    <w:basedOn w:val="Normal"/>
    <w:next w:val="Normal"/>
    <w:link w:val="Heading7Char"/>
    <w:qFormat/>
    <w:rsid w:val="00ED69AD"/>
    <w:pPr>
      <w:ind w:left="720"/>
      <w:outlineLvl w:val="6"/>
    </w:pPr>
    <w:rPr>
      <w:i/>
    </w:rPr>
  </w:style>
  <w:style w:type="paragraph" w:styleId="Heading8">
    <w:name w:val="heading 8"/>
    <w:basedOn w:val="Normal"/>
    <w:next w:val="Normal"/>
    <w:link w:val="Heading8Char"/>
    <w:qFormat/>
    <w:rsid w:val="00ED69AD"/>
    <w:pPr>
      <w:ind w:left="720"/>
      <w:outlineLvl w:val="7"/>
    </w:pPr>
    <w:rPr>
      <w:i/>
    </w:rPr>
  </w:style>
  <w:style w:type="paragraph" w:styleId="Heading9">
    <w:name w:val="heading 9"/>
    <w:basedOn w:val="Normal"/>
    <w:next w:val="Normal"/>
    <w:link w:val="Heading9Char"/>
    <w:qFormat/>
    <w:rsid w:val="00ED69AD"/>
    <w:pPr>
      <w:ind w:left="720"/>
      <w:outlineLvl w:val="8"/>
    </w:pPr>
    <w:rPr>
      <w:i/>
    </w:rPr>
  </w:style>
  <w:style w:type="character" w:default="1" w:styleId="DefaultParagraphFont">
    <w:name w:val="Default Paragraph Font"/>
    <w:uiPriority w:val="1"/>
    <w:unhideWhenUsed/>
    <w:rsid w:val="00ED69A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D69AD"/>
  </w:style>
  <w:style w:type="character" w:customStyle="1" w:styleId="Heading1Char">
    <w:name w:val="Heading 1 Char"/>
    <w:basedOn w:val="DefaultParagraphFont"/>
    <w:link w:val="Heading1"/>
    <w:rsid w:val="00ED69AD"/>
    <w:rPr>
      <w:rFonts w:ascii="Times New Roman" w:eastAsia="Times New Roman" w:hAnsi="Times New Roman" w:cs="Times New Roman"/>
      <w:b/>
      <w:sz w:val="32"/>
      <w:szCs w:val="20"/>
      <w:lang w:eastAsia="en-US"/>
    </w:rPr>
  </w:style>
  <w:style w:type="paragraph" w:styleId="BodyText">
    <w:name w:val="Body Text"/>
    <w:basedOn w:val="Normal"/>
    <w:link w:val="BodyTextChar"/>
    <w:rsid w:val="00ED69A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D69AD"/>
    <w:rPr>
      <w:rFonts w:ascii="Times New Roman" w:eastAsia="Times New Roman" w:hAnsi="Times New Roman" w:cs="Times New Roman"/>
      <w:sz w:val="24"/>
      <w:lang w:eastAsia="en-US"/>
    </w:rPr>
  </w:style>
  <w:style w:type="paragraph" w:styleId="ListBullet">
    <w:name w:val="List Bullet"/>
    <w:basedOn w:val="List"/>
    <w:rsid w:val="00ED69AD"/>
    <w:pPr>
      <w:numPr>
        <w:numId w:val="12"/>
      </w:numPr>
      <w:tabs>
        <w:tab w:val="clear" w:pos="340"/>
      </w:tabs>
      <w:spacing w:before="40" w:after="40"/>
    </w:pPr>
  </w:style>
  <w:style w:type="paragraph" w:styleId="ListBullet2">
    <w:name w:val="List Bullet 2"/>
    <w:basedOn w:val="List2"/>
    <w:rsid w:val="00ED69AD"/>
    <w:pPr>
      <w:numPr>
        <w:numId w:val="13"/>
      </w:numPr>
      <w:tabs>
        <w:tab w:val="clear" w:pos="680"/>
      </w:tabs>
    </w:pPr>
  </w:style>
  <w:style w:type="paragraph" w:customStyle="1" w:styleId="SuperHeading">
    <w:name w:val="SuperHeading"/>
    <w:basedOn w:val="Normal"/>
    <w:rsid w:val="00ED69AD"/>
    <w:pPr>
      <w:spacing w:before="240" w:after="120"/>
      <w:outlineLvl w:val="0"/>
    </w:pPr>
    <w:rPr>
      <w:rFonts w:ascii="Times New Roman" w:hAnsi="Times New Roman"/>
      <w:b/>
      <w:sz w:val="32"/>
    </w:rPr>
  </w:style>
  <w:style w:type="paragraph" w:customStyle="1" w:styleId="AllowPageBreak">
    <w:name w:val="AllowPageBreak"/>
    <w:rsid w:val="00ED69A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D69A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D69A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D69A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D69A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D69A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D69A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D69A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D69AD"/>
    <w:rPr>
      <w:rFonts w:ascii="Courier New" w:eastAsia="Times New Roman" w:hAnsi="Courier New" w:cs="Times New Roman"/>
      <w:i/>
      <w:szCs w:val="20"/>
      <w:lang w:eastAsia="en-US"/>
    </w:rPr>
  </w:style>
  <w:style w:type="paragraph" w:customStyle="1" w:styleId="HeadingBase">
    <w:name w:val="Heading Base"/>
    <w:rsid w:val="00ED69A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D69AD"/>
    <w:pPr>
      <w:tabs>
        <w:tab w:val="right" w:leader="dot" w:pos="9072"/>
      </w:tabs>
      <w:ind w:left="567"/>
    </w:pPr>
    <w:rPr>
      <w:szCs w:val="22"/>
    </w:rPr>
  </w:style>
  <w:style w:type="paragraph" w:customStyle="1" w:styleId="TOCBase">
    <w:name w:val="TOC Base"/>
    <w:rsid w:val="00ED69A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D69AD"/>
    <w:pPr>
      <w:tabs>
        <w:tab w:val="right" w:leader="dot" w:pos="9072"/>
      </w:tabs>
      <w:spacing w:before="40" w:after="40"/>
      <w:ind w:left="284"/>
    </w:pPr>
    <w:rPr>
      <w:rFonts w:ascii="Times New Roman" w:hAnsi="Times New Roman"/>
    </w:rPr>
  </w:style>
  <w:style w:type="paragraph" w:styleId="TOC1">
    <w:name w:val="toc 1"/>
    <w:basedOn w:val="TOCBase"/>
    <w:next w:val="Normal"/>
    <w:rsid w:val="00ED69A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D69A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D69AD"/>
    <w:rPr>
      <w:rFonts w:ascii="Times New Roman" w:eastAsia="Times New Roman" w:hAnsi="Times New Roman" w:cs="Times New Roman"/>
      <w:sz w:val="16"/>
      <w:lang w:eastAsia="en-US"/>
    </w:rPr>
  </w:style>
  <w:style w:type="paragraph" w:styleId="Title">
    <w:name w:val="Title"/>
    <w:basedOn w:val="HeadingBase"/>
    <w:link w:val="TitleChar"/>
    <w:qFormat/>
    <w:rsid w:val="00ED69AD"/>
    <w:pPr>
      <w:spacing w:before="5040"/>
      <w:jc w:val="center"/>
    </w:pPr>
    <w:rPr>
      <w:sz w:val="48"/>
      <w:szCs w:val="72"/>
      <w:lang w:val="en-US"/>
    </w:rPr>
  </w:style>
  <w:style w:type="character" w:customStyle="1" w:styleId="TitleChar">
    <w:name w:val="Title Char"/>
    <w:basedOn w:val="DefaultParagraphFont"/>
    <w:link w:val="Title"/>
    <w:rsid w:val="00ED69A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D69AD"/>
    <w:pPr>
      <w:tabs>
        <w:tab w:val="left" w:pos="3600"/>
        <w:tab w:val="left" w:pos="3958"/>
      </w:tabs>
    </w:pPr>
  </w:style>
  <w:style w:type="paragraph" w:styleId="List">
    <w:name w:val="List"/>
    <w:basedOn w:val="BodyText"/>
    <w:next w:val="BodyText"/>
    <w:rsid w:val="00ED69AD"/>
    <w:pPr>
      <w:tabs>
        <w:tab w:val="left" w:pos="340"/>
      </w:tabs>
      <w:spacing w:before="60" w:after="60"/>
      <w:ind w:left="340" w:hanging="340"/>
    </w:pPr>
  </w:style>
  <w:style w:type="paragraph" w:customStyle="1" w:styleId="Note">
    <w:name w:val="Note"/>
    <w:basedOn w:val="BodyText"/>
    <w:rsid w:val="00ED69A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D69AD"/>
    <w:rPr>
      <w:b/>
      <w:spacing w:val="0"/>
    </w:rPr>
  </w:style>
  <w:style w:type="paragraph" w:customStyle="1" w:styleId="SuperTitle">
    <w:name w:val="SuperTitle"/>
    <w:basedOn w:val="Title"/>
    <w:rsid w:val="00ED69AD"/>
    <w:pPr>
      <w:framePr w:wrap="auto" w:hAnchor="text" w:y="6049"/>
    </w:pPr>
    <w:rPr>
      <w:color w:val="000000"/>
      <w:sz w:val="40"/>
    </w:rPr>
  </w:style>
  <w:style w:type="paragraph" w:customStyle="1" w:styleId="TOCTitle">
    <w:name w:val="TOCTitle"/>
    <w:basedOn w:val="Heading1"/>
    <w:rsid w:val="00ED69AD"/>
    <w:pPr>
      <w:spacing w:after="240"/>
      <w:jc w:val="center"/>
      <w:outlineLvl w:val="9"/>
    </w:pPr>
    <w:rPr>
      <w:caps/>
    </w:rPr>
  </w:style>
  <w:style w:type="paragraph" w:customStyle="1" w:styleId="Version">
    <w:name w:val="Version"/>
    <w:rsid w:val="00ED69A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D69AD"/>
    <w:pPr>
      <w:keepNext w:val="0"/>
      <w:tabs>
        <w:tab w:val="right" w:pos="4176"/>
      </w:tabs>
      <w:ind w:left="198" w:hanging="198"/>
    </w:pPr>
    <w:rPr>
      <w:rFonts w:ascii="Garamond" w:hAnsi="Garamond"/>
    </w:rPr>
  </w:style>
  <w:style w:type="paragraph" w:styleId="IndexHeading">
    <w:name w:val="index heading"/>
    <w:basedOn w:val="Normal"/>
    <w:next w:val="Index1"/>
    <w:semiHidden/>
    <w:rsid w:val="00ED69AD"/>
    <w:pPr>
      <w:spacing w:before="120" w:after="120"/>
    </w:pPr>
    <w:rPr>
      <w:rFonts w:ascii="Arial" w:hAnsi="Arial"/>
      <w:b/>
      <w:color w:val="918585"/>
      <w:sz w:val="24"/>
    </w:rPr>
  </w:style>
  <w:style w:type="paragraph" w:styleId="Header">
    <w:name w:val="header"/>
    <w:basedOn w:val="Normal"/>
    <w:link w:val="HeaderChar"/>
    <w:rsid w:val="00ED69A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D69AD"/>
    <w:rPr>
      <w:rFonts w:ascii="Times New Roman" w:eastAsia="Times New Roman" w:hAnsi="Times New Roman" w:cs="Times New Roman"/>
      <w:sz w:val="16"/>
      <w:szCs w:val="20"/>
      <w:lang w:val="en-GB" w:eastAsia="en-US"/>
    </w:rPr>
  </w:style>
  <w:style w:type="paragraph" w:customStyle="1" w:styleId="Chapter">
    <w:name w:val="Chapter"/>
    <w:basedOn w:val="Normal"/>
    <w:rsid w:val="00ED69AD"/>
    <w:pPr>
      <w:spacing w:before="240"/>
    </w:pPr>
    <w:rPr>
      <w:rFonts w:ascii="Times New Roman" w:hAnsi="Times New Roman"/>
      <w:smallCaps/>
      <w:spacing w:val="80"/>
      <w:sz w:val="28"/>
    </w:rPr>
  </w:style>
  <w:style w:type="paragraph" w:customStyle="1" w:styleId="InChapter">
    <w:name w:val="InChapter"/>
    <w:basedOn w:val="Heading3"/>
    <w:rsid w:val="00ED69AD"/>
    <w:pPr>
      <w:spacing w:after="240"/>
      <w:outlineLvl w:val="9"/>
    </w:pPr>
    <w:rPr>
      <w:noProof/>
    </w:rPr>
  </w:style>
  <w:style w:type="paragraph" w:styleId="Index2">
    <w:name w:val="index 2"/>
    <w:basedOn w:val="Normal"/>
    <w:next w:val="Normal"/>
    <w:semiHidden/>
    <w:rsid w:val="00ED69AD"/>
    <w:pPr>
      <w:tabs>
        <w:tab w:val="right" w:pos="4176"/>
      </w:tabs>
      <w:ind w:left="568" w:hanging="284"/>
    </w:pPr>
    <w:rPr>
      <w:rFonts w:ascii="Garamond" w:hAnsi="Garamond"/>
    </w:rPr>
  </w:style>
  <w:style w:type="paragraph" w:customStyle="1" w:styleId="Byline">
    <w:name w:val="Byline"/>
    <w:rsid w:val="00ED69A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D69AD"/>
    <w:pPr>
      <w:tabs>
        <w:tab w:val="clear" w:pos="3600"/>
        <w:tab w:val="clear" w:pos="3958"/>
      </w:tabs>
      <w:jc w:val="right"/>
    </w:pPr>
  </w:style>
  <w:style w:type="character" w:styleId="Emphasis">
    <w:name w:val="Emphasis"/>
    <w:basedOn w:val="DefaultParagraphFont"/>
    <w:qFormat/>
    <w:rsid w:val="00ED69AD"/>
    <w:rPr>
      <w:i/>
    </w:rPr>
  </w:style>
  <w:style w:type="paragraph" w:styleId="Caption">
    <w:name w:val="caption"/>
    <w:basedOn w:val="BodyText"/>
    <w:next w:val="Normal"/>
    <w:qFormat/>
    <w:rsid w:val="00ED69AD"/>
    <w:pPr>
      <w:framePr w:w="2268" w:hSpace="181" w:vSpace="181" w:wrap="around" w:vAnchor="text" w:hAnchor="page" w:x="1135" w:y="285" w:anchorLock="1"/>
    </w:pPr>
    <w:rPr>
      <w:i/>
    </w:rPr>
  </w:style>
  <w:style w:type="paragraph" w:customStyle="1" w:styleId="MiniTOCTitle">
    <w:name w:val="MiniTOCTitle"/>
    <w:basedOn w:val="Heading4"/>
    <w:rsid w:val="00ED69AD"/>
    <w:pPr>
      <w:spacing w:before="240"/>
      <w:outlineLvl w:val="9"/>
    </w:pPr>
    <w:rPr>
      <w:noProof/>
      <w:sz w:val="24"/>
    </w:rPr>
  </w:style>
  <w:style w:type="paragraph" w:customStyle="1" w:styleId="MiniTOCItem">
    <w:name w:val="MiniTOCItem"/>
    <w:basedOn w:val="ListBullet"/>
    <w:rsid w:val="00ED69AD"/>
    <w:pPr>
      <w:numPr>
        <w:numId w:val="0"/>
      </w:numPr>
      <w:tabs>
        <w:tab w:val="right" w:leader="dot" w:pos="6521"/>
      </w:tabs>
      <w:spacing w:before="0" w:after="0"/>
    </w:pPr>
  </w:style>
  <w:style w:type="paragraph" w:customStyle="1" w:styleId="TOFTitle">
    <w:name w:val="TOFTitle"/>
    <w:basedOn w:val="TOCTitle"/>
    <w:rsid w:val="00ED69AD"/>
  </w:style>
  <w:style w:type="paragraph" w:styleId="TableofFigures">
    <w:name w:val="table of figures"/>
    <w:basedOn w:val="Normal"/>
    <w:next w:val="Normal"/>
    <w:semiHidden/>
    <w:rsid w:val="00ED69AD"/>
    <w:pPr>
      <w:tabs>
        <w:tab w:val="right" w:leader="dot" w:pos="9072"/>
      </w:tabs>
      <w:ind w:left="970" w:hanging="403"/>
    </w:pPr>
    <w:rPr>
      <w:rFonts w:ascii="Times New Roman" w:hAnsi="Times New Roman"/>
      <w:b/>
    </w:rPr>
  </w:style>
  <w:style w:type="paragraph" w:styleId="ListNumber">
    <w:name w:val="List Number"/>
    <w:basedOn w:val="List"/>
    <w:rsid w:val="00ED69AD"/>
    <w:pPr>
      <w:numPr>
        <w:numId w:val="15"/>
      </w:numPr>
      <w:tabs>
        <w:tab w:val="clear" w:pos="340"/>
      </w:tabs>
    </w:pPr>
  </w:style>
  <w:style w:type="character" w:customStyle="1" w:styleId="WingdingSymbols">
    <w:name w:val="Wingding Symbols"/>
    <w:rsid w:val="00ED69AD"/>
    <w:rPr>
      <w:rFonts w:ascii="Wingdings" w:hAnsi="Wingdings"/>
    </w:rPr>
  </w:style>
  <w:style w:type="paragraph" w:customStyle="1" w:styleId="TableHeading">
    <w:name w:val="Table Heading"/>
    <w:basedOn w:val="HeadingBase"/>
    <w:rsid w:val="00ED69AD"/>
    <w:pPr>
      <w:keepLines/>
      <w:pBdr>
        <w:bottom w:val="single" w:sz="6" w:space="1" w:color="918585"/>
      </w:pBdr>
      <w:spacing w:before="240"/>
    </w:pPr>
  </w:style>
  <w:style w:type="character" w:customStyle="1" w:styleId="HotSpot">
    <w:name w:val="HotSpot"/>
    <w:rsid w:val="00ED69AD"/>
    <w:rPr>
      <w:color w:val="0033CC"/>
      <w:u w:val="none"/>
    </w:rPr>
  </w:style>
  <w:style w:type="paragraph" w:customStyle="1" w:styleId="BodyTextRight">
    <w:name w:val="Body Text Right"/>
    <w:basedOn w:val="BodyText"/>
    <w:rsid w:val="00ED69AD"/>
    <w:pPr>
      <w:spacing w:before="0" w:after="0"/>
      <w:jc w:val="right"/>
    </w:pPr>
  </w:style>
  <w:style w:type="paragraph" w:styleId="Index3">
    <w:name w:val="index 3"/>
    <w:basedOn w:val="ListNumber2"/>
    <w:next w:val="Normal"/>
    <w:semiHidden/>
    <w:rsid w:val="00ED69AD"/>
    <w:pPr>
      <w:numPr>
        <w:numId w:val="0"/>
      </w:numPr>
      <w:tabs>
        <w:tab w:val="right" w:leader="dot" w:pos="4176"/>
      </w:tabs>
    </w:pPr>
  </w:style>
  <w:style w:type="paragraph" w:styleId="ListNumber2">
    <w:name w:val="List Number 2"/>
    <w:basedOn w:val="List2"/>
    <w:rsid w:val="00ED69AD"/>
    <w:pPr>
      <w:numPr>
        <w:numId w:val="10"/>
      </w:numPr>
      <w:tabs>
        <w:tab w:val="clear" w:pos="1060"/>
      </w:tabs>
    </w:pPr>
  </w:style>
  <w:style w:type="paragraph" w:customStyle="1" w:styleId="MarginNote">
    <w:name w:val="Margin Note"/>
    <w:basedOn w:val="BodyText"/>
    <w:rsid w:val="00ED69A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D69A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D69A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D69AD"/>
    <w:rPr>
      <w:sz w:val="32"/>
    </w:rPr>
  </w:style>
  <w:style w:type="paragraph" w:customStyle="1" w:styleId="HeadingProcedure">
    <w:name w:val="Heading Procedure"/>
    <w:basedOn w:val="HeadingBase"/>
    <w:next w:val="Normal"/>
    <w:rsid w:val="00ED69AD"/>
    <w:pPr>
      <w:tabs>
        <w:tab w:val="left" w:pos="0"/>
      </w:tabs>
      <w:spacing w:before="120" w:after="60"/>
    </w:pPr>
    <w:rPr>
      <w:i/>
      <w:color w:val="918585"/>
      <w:sz w:val="22"/>
    </w:rPr>
  </w:style>
  <w:style w:type="paragraph" w:customStyle="1" w:styleId="TableBodyText">
    <w:name w:val="Table Body Text"/>
    <w:basedOn w:val="BodyText"/>
    <w:rsid w:val="00ED69AD"/>
    <w:pPr>
      <w:spacing w:before="60" w:after="60"/>
    </w:pPr>
  </w:style>
  <w:style w:type="paragraph" w:styleId="ListContinue">
    <w:name w:val="List Continue"/>
    <w:basedOn w:val="List"/>
    <w:rsid w:val="00ED69AD"/>
    <w:pPr>
      <w:ind w:firstLine="0"/>
    </w:pPr>
  </w:style>
  <w:style w:type="paragraph" w:customStyle="1" w:styleId="ListNote">
    <w:name w:val="List Note"/>
    <w:basedOn w:val="List"/>
    <w:rsid w:val="00ED69AD"/>
    <w:pPr>
      <w:pBdr>
        <w:top w:val="single" w:sz="6" w:space="2" w:color="918585"/>
        <w:bottom w:val="single" w:sz="6" w:space="2" w:color="918585"/>
      </w:pBdr>
      <w:tabs>
        <w:tab w:val="left" w:pos="1021"/>
      </w:tabs>
      <w:ind w:firstLine="0"/>
    </w:pPr>
  </w:style>
  <w:style w:type="paragraph" w:customStyle="1" w:styleId="Warning">
    <w:name w:val="Warning"/>
    <w:basedOn w:val="BodyText"/>
    <w:rsid w:val="00ED69AD"/>
    <w:pPr>
      <w:shd w:val="clear" w:color="auto" w:fill="D9D9D9"/>
      <w:tabs>
        <w:tab w:val="left" w:pos="992"/>
      </w:tabs>
      <w:ind w:left="119" w:right="119"/>
    </w:pPr>
    <w:rPr>
      <w:sz w:val="20"/>
    </w:rPr>
  </w:style>
  <w:style w:type="paragraph" w:customStyle="1" w:styleId="MarginIcons">
    <w:name w:val="Margin Icons"/>
    <w:basedOn w:val="BodyText"/>
    <w:rsid w:val="00ED69A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D69AD"/>
    <w:rPr>
      <w:rFonts w:ascii="Courier New" w:hAnsi="Courier New"/>
    </w:rPr>
  </w:style>
  <w:style w:type="paragraph" w:customStyle="1" w:styleId="NoteBullet">
    <w:name w:val="Note Bullet"/>
    <w:basedOn w:val="Note"/>
    <w:rsid w:val="00ED69AD"/>
    <w:pPr>
      <w:tabs>
        <w:tab w:val="clear" w:pos="680"/>
      </w:tabs>
      <w:spacing w:before="60" w:after="60"/>
    </w:pPr>
  </w:style>
  <w:style w:type="paragraph" w:customStyle="1" w:styleId="SubHeading2">
    <w:name w:val="SubHeading2"/>
    <w:basedOn w:val="HeadingBase"/>
    <w:rsid w:val="00ED69AD"/>
    <w:pPr>
      <w:spacing w:before="240" w:after="60"/>
    </w:pPr>
    <w:rPr>
      <w:sz w:val="20"/>
    </w:rPr>
  </w:style>
  <w:style w:type="paragraph" w:customStyle="1" w:styleId="SubHeading1">
    <w:name w:val="SubHeading1"/>
    <w:basedOn w:val="HeadingBase"/>
    <w:rsid w:val="00ED69AD"/>
    <w:pPr>
      <w:spacing w:before="240" w:after="60"/>
    </w:pPr>
    <w:rPr>
      <w:color w:val="918585"/>
      <w:sz w:val="22"/>
    </w:rPr>
  </w:style>
  <w:style w:type="paragraph" w:customStyle="1" w:styleId="SideHeading">
    <w:name w:val="Side Heading"/>
    <w:basedOn w:val="HeadingBase"/>
    <w:rsid w:val="00ED69A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D69AD"/>
    <w:pPr>
      <w:tabs>
        <w:tab w:val="num" w:pos="360"/>
      </w:tabs>
    </w:pPr>
  </w:style>
  <w:style w:type="paragraph" w:styleId="PlainText">
    <w:name w:val="Plain Text"/>
    <w:basedOn w:val="Normal"/>
    <w:link w:val="PlainTextChar"/>
    <w:rsid w:val="00ED69AD"/>
    <w:rPr>
      <w:sz w:val="20"/>
    </w:rPr>
  </w:style>
  <w:style w:type="character" w:customStyle="1" w:styleId="PlainTextChar">
    <w:name w:val="Plain Text Char"/>
    <w:basedOn w:val="DefaultParagraphFont"/>
    <w:link w:val="PlainText"/>
    <w:rsid w:val="00ED69AD"/>
    <w:rPr>
      <w:rFonts w:ascii="Courier New" w:eastAsia="Times New Roman" w:hAnsi="Courier New" w:cs="Times New Roman"/>
      <w:sz w:val="20"/>
      <w:szCs w:val="20"/>
      <w:lang w:eastAsia="en-US"/>
    </w:rPr>
  </w:style>
  <w:style w:type="character" w:customStyle="1" w:styleId="MenuOption">
    <w:name w:val="Menu Option"/>
    <w:basedOn w:val="DefaultParagraphFont"/>
    <w:rsid w:val="00ED69AD"/>
    <w:rPr>
      <w:b/>
      <w:smallCaps/>
    </w:rPr>
  </w:style>
  <w:style w:type="paragraph" w:customStyle="1" w:styleId="TableListNumber">
    <w:name w:val="Table List Number"/>
    <w:basedOn w:val="ListNumber"/>
    <w:rsid w:val="00ED69AD"/>
    <w:pPr>
      <w:numPr>
        <w:numId w:val="0"/>
      </w:numPr>
    </w:pPr>
  </w:style>
  <w:style w:type="paragraph" w:styleId="TOC4">
    <w:name w:val="toc 4"/>
    <w:basedOn w:val="TOCBase"/>
    <w:next w:val="Normal"/>
    <w:semiHidden/>
    <w:rsid w:val="00ED69AD"/>
    <w:pPr>
      <w:tabs>
        <w:tab w:val="right" w:leader="dot" w:pos="9071"/>
      </w:tabs>
      <w:ind w:left="1701"/>
    </w:pPr>
  </w:style>
  <w:style w:type="paragraph" w:customStyle="1" w:styleId="ListAlpha">
    <w:name w:val="List Alpha"/>
    <w:basedOn w:val="List"/>
    <w:rsid w:val="00ED69AD"/>
    <w:pPr>
      <w:numPr>
        <w:numId w:val="9"/>
      </w:numPr>
    </w:pPr>
  </w:style>
  <w:style w:type="paragraph" w:customStyle="1" w:styleId="ListAlpha2">
    <w:name w:val="List Alpha 2"/>
    <w:basedOn w:val="List2"/>
    <w:rsid w:val="00ED69AD"/>
    <w:pPr>
      <w:numPr>
        <w:numId w:val="8"/>
      </w:numPr>
    </w:pPr>
  </w:style>
  <w:style w:type="paragraph" w:styleId="List2">
    <w:name w:val="List 2"/>
    <w:basedOn w:val="BodyText"/>
    <w:rsid w:val="00ED69AD"/>
    <w:pPr>
      <w:tabs>
        <w:tab w:val="left" w:pos="680"/>
      </w:tabs>
      <w:spacing w:before="60" w:after="60"/>
      <w:ind w:left="680" w:hanging="340"/>
    </w:pPr>
  </w:style>
  <w:style w:type="paragraph" w:styleId="List3">
    <w:name w:val="List 3"/>
    <w:basedOn w:val="BodyText"/>
    <w:rsid w:val="00ED69AD"/>
    <w:pPr>
      <w:tabs>
        <w:tab w:val="left" w:pos="1021"/>
      </w:tabs>
      <w:spacing w:before="60" w:after="60"/>
      <w:ind w:left="1020" w:hanging="340"/>
    </w:pPr>
  </w:style>
  <w:style w:type="paragraph" w:styleId="List4">
    <w:name w:val="List 4"/>
    <w:basedOn w:val="BodyText"/>
    <w:rsid w:val="00ED69AD"/>
    <w:pPr>
      <w:tabs>
        <w:tab w:val="left" w:pos="1361"/>
      </w:tabs>
      <w:spacing w:before="60" w:after="60"/>
      <w:ind w:left="1361" w:hanging="340"/>
    </w:pPr>
  </w:style>
  <w:style w:type="paragraph" w:styleId="List5">
    <w:name w:val="List 5"/>
    <w:basedOn w:val="BodyText"/>
    <w:rsid w:val="00ED69AD"/>
    <w:pPr>
      <w:tabs>
        <w:tab w:val="left" w:pos="1701"/>
      </w:tabs>
      <w:spacing w:before="60" w:after="60"/>
      <w:ind w:left="1701" w:hanging="340"/>
    </w:pPr>
  </w:style>
  <w:style w:type="paragraph" w:styleId="ListBullet3">
    <w:name w:val="List Bullet 3"/>
    <w:basedOn w:val="List3"/>
    <w:rsid w:val="00ED69AD"/>
    <w:pPr>
      <w:numPr>
        <w:numId w:val="14"/>
      </w:numPr>
      <w:tabs>
        <w:tab w:val="clear" w:pos="1021"/>
      </w:tabs>
      <w:ind w:left="1037" w:hanging="357"/>
    </w:pPr>
  </w:style>
  <w:style w:type="paragraph" w:styleId="ListBullet4">
    <w:name w:val="List Bullet 4"/>
    <w:basedOn w:val="List4"/>
    <w:rsid w:val="00ED69AD"/>
    <w:pPr>
      <w:numPr>
        <w:numId w:val="3"/>
      </w:numPr>
      <w:tabs>
        <w:tab w:val="clear" w:pos="1361"/>
      </w:tabs>
    </w:pPr>
  </w:style>
  <w:style w:type="paragraph" w:styleId="ListBullet5">
    <w:name w:val="List Bullet 5"/>
    <w:basedOn w:val="List5"/>
    <w:rsid w:val="00ED69AD"/>
    <w:pPr>
      <w:numPr>
        <w:numId w:val="4"/>
      </w:numPr>
    </w:pPr>
  </w:style>
  <w:style w:type="paragraph" w:styleId="ListContinue2">
    <w:name w:val="List Continue 2"/>
    <w:basedOn w:val="List2"/>
    <w:rsid w:val="00ED69AD"/>
    <w:pPr>
      <w:ind w:firstLine="0"/>
    </w:pPr>
  </w:style>
  <w:style w:type="paragraph" w:styleId="ListContinue3">
    <w:name w:val="List Continue 3"/>
    <w:basedOn w:val="List3"/>
    <w:rsid w:val="00ED69AD"/>
    <w:pPr>
      <w:ind w:left="1021" w:firstLine="0"/>
    </w:pPr>
  </w:style>
  <w:style w:type="paragraph" w:styleId="ListContinue4">
    <w:name w:val="List Continue 4"/>
    <w:basedOn w:val="List4"/>
    <w:rsid w:val="00ED69AD"/>
    <w:pPr>
      <w:ind w:firstLine="0"/>
    </w:pPr>
  </w:style>
  <w:style w:type="paragraph" w:styleId="ListContinue5">
    <w:name w:val="List Continue 5"/>
    <w:basedOn w:val="List5"/>
    <w:rsid w:val="00ED69AD"/>
    <w:pPr>
      <w:ind w:firstLine="0"/>
    </w:pPr>
  </w:style>
  <w:style w:type="paragraph" w:styleId="ListNumber3">
    <w:name w:val="List Number 3"/>
    <w:basedOn w:val="List3"/>
    <w:rsid w:val="00ED69AD"/>
    <w:pPr>
      <w:numPr>
        <w:numId w:val="5"/>
      </w:numPr>
    </w:pPr>
  </w:style>
  <w:style w:type="paragraph" w:styleId="ListNumber4">
    <w:name w:val="List Number 4"/>
    <w:basedOn w:val="List4"/>
    <w:rsid w:val="00ED69AD"/>
    <w:pPr>
      <w:numPr>
        <w:numId w:val="6"/>
      </w:numPr>
    </w:pPr>
  </w:style>
  <w:style w:type="paragraph" w:styleId="ListNumber5">
    <w:name w:val="List Number 5"/>
    <w:basedOn w:val="List5"/>
    <w:rsid w:val="00ED69AD"/>
    <w:pPr>
      <w:numPr>
        <w:numId w:val="7"/>
      </w:numPr>
    </w:pPr>
  </w:style>
  <w:style w:type="paragraph" w:styleId="BlockText">
    <w:name w:val="Block Text"/>
    <w:basedOn w:val="Normal"/>
    <w:rsid w:val="00ED69AD"/>
    <w:pPr>
      <w:spacing w:after="120"/>
      <w:ind w:left="1440" w:right="1440"/>
    </w:pPr>
  </w:style>
  <w:style w:type="character" w:customStyle="1" w:styleId="Subscript">
    <w:name w:val="Subscript"/>
    <w:basedOn w:val="DefaultParagraphFont"/>
    <w:rsid w:val="00ED69AD"/>
    <w:rPr>
      <w:sz w:val="16"/>
      <w:vertAlign w:val="subscript"/>
    </w:rPr>
  </w:style>
  <w:style w:type="character" w:customStyle="1" w:styleId="Superscript">
    <w:name w:val="Superscript"/>
    <w:basedOn w:val="DefaultParagraphFont"/>
    <w:rsid w:val="00ED69AD"/>
    <w:rPr>
      <w:sz w:val="16"/>
      <w:vertAlign w:val="superscript"/>
    </w:rPr>
  </w:style>
  <w:style w:type="character" w:customStyle="1" w:styleId="Symbols">
    <w:name w:val="Symbols"/>
    <w:basedOn w:val="DefaultParagraphFont"/>
    <w:rsid w:val="00ED69AD"/>
    <w:rPr>
      <w:rFonts w:ascii="Symbol" w:hAnsi="Symbol"/>
    </w:rPr>
  </w:style>
  <w:style w:type="character" w:customStyle="1" w:styleId="MenuOptions">
    <w:name w:val="Menu Options"/>
    <w:basedOn w:val="DefaultParagraphFont"/>
    <w:rsid w:val="00ED69AD"/>
    <w:rPr>
      <w:rFonts w:ascii="Arial Narrow" w:hAnsi="Arial Narrow"/>
      <w:smallCaps/>
    </w:rPr>
  </w:style>
  <w:style w:type="character" w:customStyle="1" w:styleId="Buttons">
    <w:name w:val="Buttons"/>
    <w:basedOn w:val="DefaultParagraphFont"/>
    <w:rsid w:val="00ED69AD"/>
    <w:rPr>
      <w:b/>
    </w:rPr>
  </w:style>
  <w:style w:type="character" w:customStyle="1" w:styleId="Underlined">
    <w:name w:val="Underlined"/>
    <w:basedOn w:val="DefaultParagraphFont"/>
    <w:rsid w:val="00ED69AD"/>
    <w:rPr>
      <w:u w:val="single"/>
    </w:rPr>
  </w:style>
  <w:style w:type="paragraph" w:customStyle="1" w:styleId="TableBodyTextRight">
    <w:name w:val="Table Body Text Right"/>
    <w:basedOn w:val="TableBodyText"/>
    <w:rsid w:val="00ED69AD"/>
    <w:pPr>
      <w:widowControl w:val="0"/>
      <w:autoSpaceDE w:val="0"/>
      <w:autoSpaceDN w:val="0"/>
      <w:adjustRightInd w:val="0"/>
      <w:jc w:val="right"/>
    </w:pPr>
    <w:rPr>
      <w:rFonts w:cs="Arial"/>
      <w:szCs w:val="18"/>
    </w:rPr>
  </w:style>
  <w:style w:type="paragraph" w:customStyle="1" w:styleId="CopyrightText">
    <w:name w:val="Copyright Text"/>
    <w:basedOn w:val="BodyText"/>
    <w:rsid w:val="00ED69AD"/>
    <w:rPr>
      <w:sz w:val="18"/>
    </w:rPr>
  </w:style>
  <w:style w:type="paragraph" w:customStyle="1" w:styleId="BodySmallRight">
    <w:name w:val="Body Small Right"/>
    <w:basedOn w:val="BodyTextRight"/>
    <w:rsid w:val="00ED69AD"/>
    <w:rPr>
      <w:sz w:val="18"/>
      <w:szCs w:val="18"/>
    </w:rPr>
  </w:style>
  <w:style w:type="paragraph" w:customStyle="1" w:styleId="MarginEdition">
    <w:name w:val="Margin Edition"/>
    <w:basedOn w:val="MarginNote"/>
    <w:rsid w:val="00ED69AD"/>
    <w:pPr>
      <w:spacing w:before="0" w:after="0"/>
    </w:pPr>
    <w:rPr>
      <w:rFonts w:ascii="Times New Roman" w:hAnsi="Times New Roman"/>
      <w:color w:val="999999"/>
    </w:rPr>
  </w:style>
  <w:style w:type="paragraph" w:customStyle="1" w:styleId="Spacer">
    <w:name w:val="Spacer"/>
    <w:basedOn w:val="Normal"/>
    <w:rsid w:val="00ED69AD"/>
    <w:rPr>
      <w:sz w:val="2"/>
      <w:szCs w:val="2"/>
    </w:rPr>
  </w:style>
  <w:style w:type="character" w:customStyle="1" w:styleId="Small">
    <w:name w:val="Small"/>
    <w:basedOn w:val="DefaultParagraphFont"/>
    <w:rsid w:val="00ED69AD"/>
    <w:rPr>
      <w:sz w:val="16"/>
    </w:rPr>
  </w:style>
  <w:style w:type="paragraph" w:customStyle="1" w:styleId="WideTable">
    <w:name w:val="Wide Table"/>
    <w:basedOn w:val="Normal"/>
    <w:rsid w:val="00ED69AD"/>
    <w:pPr>
      <w:ind w:left="-1418"/>
    </w:pPr>
    <w:rPr>
      <w:sz w:val="2"/>
      <w:szCs w:val="2"/>
    </w:rPr>
  </w:style>
  <w:style w:type="character" w:styleId="PageNumber">
    <w:name w:val="page number"/>
    <w:basedOn w:val="DefaultParagraphFont"/>
    <w:rsid w:val="00ED69AD"/>
  </w:style>
  <w:style w:type="paragraph" w:styleId="Quote">
    <w:name w:val="Quote"/>
    <w:basedOn w:val="Heading1"/>
    <w:link w:val="QuoteChar"/>
    <w:qFormat/>
    <w:rsid w:val="00ED69AD"/>
    <w:rPr>
      <w:b w:val="0"/>
      <w:sz w:val="72"/>
      <w:szCs w:val="72"/>
      <w:lang w:val="en-NZ"/>
    </w:rPr>
  </w:style>
  <w:style w:type="character" w:customStyle="1" w:styleId="QuoteChar">
    <w:name w:val="Quote Char"/>
    <w:basedOn w:val="DefaultParagraphFont"/>
    <w:link w:val="Quote"/>
    <w:rsid w:val="00ED69A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D69AD"/>
    <w:pPr>
      <w:pageBreakBefore/>
    </w:pPr>
  </w:style>
  <w:style w:type="paragraph" w:customStyle="1" w:styleId="Border">
    <w:name w:val="Border"/>
    <w:basedOn w:val="Normal"/>
    <w:qFormat/>
    <w:rsid w:val="00ED69A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D69AD"/>
    <w:rPr>
      <w:b/>
      <w:bCs/>
      <w:i/>
      <w:iCs/>
      <w:color w:val="auto"/>
    </w:rPr>
  </w:style>
  <w:style w:type="paragraph" w:styleId="IntenseQuote">
    <w:name w:val="Intense Quote"/>
    <w:basedOn w:val="Normal"/>
    <w:next w:val="Normal"/>
    <w:link w:val="IntenseQuoteChar"/>
    <w:uiPriority w:val="30"/>
    <w:qFormat/>
    <w:rsid w:val="00ED69A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D69A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D69AD"/>
    <w:rPr>
      <w:smallCaps/>
      <w:color w:val="auto"/>
      <w:u w:val="single"/>
    </w:rPr>
  </w:style>
  <w:style w:type="character" w:styleId="IntenseReference">
    <w:name w:val="Intense Reference"/>
    <w:basedOn w:val="DefaultParagraphFont"/>
    <w:uiPriority w:val="32"/>
    <w:qFormat/>
    <w:rsid w:val="00ED69AD"/>
    <w:rPr>
      <w:b/>
      <w:bCs/>
      <w:smallCaps/>
      <w:color w:val="auto"/>
      <w:spacing w:val="5"/>
      <w:u w:val="single"/>
    </w:rPr>
  </w:style>
  <w:style w:type="paragraph" w:customStyle="1" w:styleId="2ColumnHeading">
    <w:name w:val="2Column Heading"/>
    <w:basedOn w:val="BodyText"/>
    <w:qFormat/>
    <w:rsid w:val="00ED69AD"/>
    <w:pPr>
      <w:spacing w:after="60"/>
      <w:ind w:left="-2268"/>
    </w:pPr>
    <w:rPr>
      <w:b/>
    </w:rPr>
  </w:style>
  <w:style w:type="paragraph" w:customStyle="1" w:styleId="Heading1TOC">
    <w:name w:val="Heading1 TOC"/>
    <w:basedOn w:val="Normal"/>
    <w:qFormat/>
    <w:rsid w:val="00ED69AD"/>
    <w:pPr>
      <w:spacing w:before="240" w:after="120"/>
    </w:pPr>
    <w:rPr>
      <w:rFonts w:ascii="Times New Roman" w:hAnsi="Times New Roman"/>
      <w:b/>
      <w:sz w:val="32"/>
    </w:rPr>
  </w:style>
  <w:style w:type="paragraph" w:customStyle="1" w:styleId="Heading2TOC">
    <w:name w:val="Heading2 TOC"/>
    <w:basedOn w:val="Normal"/>
    <w:qFormat/>
    <w:rsid w:val="00ED69AD"/>
    <w:pPr>
      <w:spacing w:before="240" w:after="60"/>
    </w:pPr>
    <w:rPr>
      <w:rFonts w:ascii="Times New Roman" w:hAnsi="Times New Roman"/>
      <w:b/>
      <w:sz w:val="28"/>
    </w:rPr>
  </w:style>
  <w:style w:type="character" w:customStyle="1" w:styleId="Underline">
    <w:name w:val="Underline"/>
    <w:basedOn w:val="DefaultParagraphFont"/>
    <w:qFormat/>
    <w:rsid w:val="00ED69AD"/>
    <w:rPr>
      <w:u w:val="single"/>
    </w:rPr>
  </w:style>
  <w:style w:type="character" w:customStyle="1" w:styleId="BoldandItalics">
    <w:name w:val="Bold and Italics"/>
    <w:qFormat/>
    <w:rsid w:val="00ED69AD"/>
    <w:rPr>
      <w:b/>
      <w:i/>
      <w:u w:val="none"/>
    </w:rPr>
  </w:style>
  <w:style w:type="paragraph" w:styleId="BalloonText">
    <w:name w:val="Balloon Text"/>
    <w:basedOn w:val="Normal"/>
    <w:link w:val="BalloonTextChar"/>
    <w:rsid w:val="00ED69AD"/>
    <w:rPr>
      <w:rFonts w:ascii="Tahoma" w:hAnsi="Tahoma" w:cs="Tahoma"/>
      <w:sz w:val="16"/>
      <w:szCs w:val="16"/>
    </w:rPr>
  </w:style>
  <w:style w:type="character" w:customStyle="1" w:styleId="BalloonTextChar">
    <w:name w:val="Balloon Text Char"/>
    <w:basedOn w:val="DefaultParagraphFont"/>
    <w:link w:val="BalloonText"/>
    <w:rsid w:val="00ED69A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D69A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D69A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D69AD"/>
    <w:rPr>
      <w:b/>
      <w:color w:val="660033"/>
      <w:spacing w:val="0"/>
    </w:rPr>
  </w:style>
  <w:style w:type="paragraph" w:customStyle="1" w:styleId="Nameditemlist">
    <w:name w:val="Named item list"/>
    <w:basedOn w:val="BodyText"/>
    <w:qFormat/>
    <w:rsid w:val="00ED69AD"/>
    <w:pPr>
      <w:tabs>
        <w:tab w:val="left" w:pos="2835"/>
      </w:tabs>
      <w:ind w:left="2835" w:hanging="2835"/>
    </w:pPr>
  </w:style>
  <w:style w:type="paragraph" w:customStyle="1" w:styleId="BodyTextnopadding">
    <w:name w:val="Body Text no padding"/>
    <w:basedOn w:val="BodyText"/>
    <w:qFormat/>
    <w:rsid w:val="00ED69AD"/>
    <w:pPr>
      <w:spacing w:before="0" w:after="0"/>
    </w:pPr>
  </w:style>
  <w:style w:type="paragraph" w:customStyle="1" w:styleId="BodyTextBold">
    <w:name w:val="Body Text Bold"/>
    <w:basedOn w:val="BodyText"/>
    <w:qFormat/>
    <w:rsid w:val="00ED69AD"/>
    <w:rPr>
      <w:b/>
    </w:rPr>
  </w:style>
  <w:style w:type="character" w:styleId="Hyperlink">
    <w:name w:val="Hyperlink"/>
    <w:basedOn w:val="DefaultParagraphFont"/>
    <w:uiPriority w:val="99"/>
    <w:unhideWhenUsed/>
    <w:rsid w:val="00450E0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1214</Words>
  <Characters>7968</Characters>
  <Application>Microsoft Office Word</Application>
  <DocSecurity>0</DocSecurity>
  <Lines>306</Lines>
  <Paragraphs>163</Paragraphs>
  <ScaleCrop>false</ScaleCrop>
  <Company>Author-it Software Corporation Ltd.</Company>
  <LinksUpToDate>false</LinksUpToDate>
  <CharactersWithSpaces>9019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CPPFES2050 Monitor storage operations for scheduled gaseous fire-extinguishing agents</dc:title>
  <dc:subject>Approved</dc:subject>
  <dc:creator>BuildSkills Australia</dc:creator>
  <cp:keywords>Release: 1</cp:keywords>
  <dc:description>Review Date: 12 April 2008</dc:description>
  <cp:lastModifiedBy>HSD_TPCMSd.prod</cp:lastModifiedBy>
  <cp:revision>3</cp:revision>
  <dcterms:created xsi:type="dcterms:W3CDTF">2025-03-01T22:09:00Z</dcterms:created>
  <dcterms:modified xsi:type="dcterms:W3CDTF">2025-03-01T22:09:00Z</dcterms:modified>
</cp:coreProperties>
</file>