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8EE" w:rsidP="006B2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CPPFES2050 Monitor storage operations for scheduled gaseous fire-extinguishing agents</w:t>
      </w:r>
      <w:r>
        <w:fldChar w:fldCharType="end"/>
      </w:r>
    </w:p>
    <w:p w:rsidR="006B28EE" w:rsidP="006B28EE">
      <w:pPr>
        <w:pStyle w:val="Version"/>
        <w:sectPr w:rsidSect="000B3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740" w:rsidP="000B3740">
      <w:pPr>
        <w:pStyle w:val="SuperHeading"/>
      </w:pPr>
      <w:r w:rsidRPr="000B3740">
        <w:t>Assessment Requirements for CPPFES2050 Monitor storage operations for scheduled gaseous fire-extinguishing agents</w:t>
      </w:r>
    </w:p>
    <w:p w:rsidR="00000000" w:rsidRPr="000B3740" w:rsidP="000B3740">
      <w:pPr>
        <w:pStyle w:val="Heading1"/>
      </w:pPr>
      <w:bookmarkStart w:id="1" w:name="O_1163655"/>
      <w:bookmarkEnd w:id="1"/>
      <w:r w:rsidRPr="000B37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0B3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40">
            <w:pPr>
              <w:pStyle w:val="BodyText"/>
              <w:rPr>
                <w:lang w:val="en-NZ"/>
              </w:rPr>
            </w:pPr>
            <w:r w:rsidRPr="000B3740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40" w:rsidP="000B3740">
            <w:pPr>
              <w:pStyle w:val="BodyText"/>
            </w:pPr>
            <w:r w:rsidRPr="000B3740">
              <w:t>This version first released with CPP Property Services Training Package Release 13.0.</w:t>
            </w:r>
          </w:p>
          <w:p w:rsidR="00000000" w:rsidRPr="000B3740" w:rsidP="000B3740">
            <w:pPr>
              <w:pStyle w:val="BodyText"/>
            </w:pPr>
            <w:r w:rsidRPr="000B3740">
              <w:t>Supersedes and is equivalent to CPPFES2050A Monitor storage operations for scheduled gaseous fire-extinguishing agents.  Unit updated to meet the Standards for Training Packages 2012.</w:t>
            </w:r>
          </w:p>
        </w:tc>
      </w:tr>
    </w:tbl>
    <w:p w:rsidR="00000000" w:rsidRPr="000B3740" w:rsidP="000B3740">
      <w:pPr>
        <w:pStyle w:val="BodyText"/>
      </w:pPr>
    </w:p>
    <w:p w:rsidR="00000000" w:rsidRPr="000B3740" w:rsidP="000B3740">
      <w:pPr>
        <w:pStyle w:val="AllowPageBreak"/>
      </w:pPr>
    </w:p>
    <w:p w:rsidR="00000000" w:rsidRPr="000B3740" w:rsidP="000B3740">
      <w:pPr>
        <w:pStyle w:val="Heading1"/>
      </w:pPr>
      <w:bookmarkStart w:id="2" w:name="O_1163658"/>
      <w:bookmarkEnd w:id="2"/>
      <w:r w:rsidRPr="000B3740">
        <w:t>Performance Evidence</w:t>
      </w:r>
    </w:p>
    <w:p w:rsidR="00000000" w:rsidRPr="000B3740" w:rsidP="006B28EE">
      <w:pPr>
        <w:pStyle w:val="BodyText"/>
      </w:pPr>
      <w:r w:rsidRPr="000B3740">
        <w:t>To demonstrate competency, a c</w:t>
      </w:r>
      <w:r w:rsidRPr="000B3740">
        <w:t>andidate must meet the elements and performance criteria of this unit by monitoring storage operations for scheduled gaseous fire-extinguishing agents on two separate occasions.</w:t>
      </w:r>
    </w:p>
    <w:p w:rsidR="00000000" w:rsidRPr="000B3740" w:rsidP="000B3740">
      <w:pPr>
        <w:pStyle w:val="Heading1"/>
      </w:pPr>
      <w:bookmarkStart w:id="3" w:name="O_1163657"/>
      <w:bookmarkEnd w:id="3"/>
      <w:r w:rsidRPr="000B3740">
        <w:t>Knowledge Evidence</w:t>
      </w:r>
    </w:p>
    <w:p w:rsidR="00000000" w:rsidRPr="000B3740" w:rsidP="006B28EE">
      <w:pPr>
        <w:pStyle w:val="BodyText"/>
      </w:pPr>
      <w:r w:rsidRPr="000B3740">
        <w:t>To be competent in this unit, a candidat</w:t>
      </w:r>
      <w:r w:rsidRPr="000B3740">
        <w:t>e must demonstrate knowledge of:</w:t>
      </w:r>
    </w:p>
    <w:p w:rsidR="00000000" w:rsidRPr="000B3740" w:rsidP="000B3740">
      <w:pPr>
        <w:pStyle w:val="ListBullet"/>
      </w:pPr>
      <w:r w:rsidRPr="000B3740">
        <w:t>action to take when a breach of work health and safety (WHS), ozone depleting substances (ODS) and synthetic greenhouse gases (SGG) regulation or other policy occurs when monitoring storage operations for scheduled gaseous</w:t>
      </w:r>
      <w:r w:rsidRPr="000B3740">
        <w:t xml:space="preserve"> fire-extinguishing agents</w:t>
      </w:r>
    </w:p>
    <w:p w:rsidR="00000000" w:rsidRPr="000B3740" w:rsidP="000B3740">
      <w:pPr>
        <w:pStyle w:val="ListBullet"/>
      </w:pPr>
      <w:r w:rsidRPr="000B3740">
        <w:t>audit processes used to track and monitor container movements and storage</w:t>
      </w:r>
    </w:p>
    <w:p w:rsidR="00000000" w:rsidRPr="000B3740" w:rsidP="000B3740">
      <w:pPr>
        <w:pStyle w:val="ListBullet"/>
      </w:pPr>
      <w:r w:rsidRPr="000B3740">
        <w:t>causes of:</w:t>
      </w:r>
    </w:p>
    <w:p w:rsidR="00000000" w:rsidRPr="000B3740" w:rsidP="000B3740">
      <w:pPr>
        <w:pStyle w:val="ListBullet2"/>
      </w:pPr>
      <w:r w:rsidRPr="000B3740">
        <w:t>emissions from ODS and SGG storage containers</w:t>
      </w:r>
    </w:p>
    <w:p w:rsidR="00000000" w:rsidRPr="000B3740" w:rsidP="000B3740">
      <w:pPr>
        <w:pStyle w:val="ListBullet2"/>
      </w:pPr>
      <w:r w:rsidRPr="000B3740">
        <w:t>security incidents related to ODS and SGG storage containers</w:t>
      </w:r>
    </w:p>
    <w:p w:rsidR="00000000" w:rsidRPr="000B3740" w:rsidP="000B3740">
      <w:pPr>
        <w:pStyle w:val="ListBullet"/>
      </w:pPr>
      <w:r w:rsidRPr="000B3740">
        <w:t>correct manual-handling aids and techniques</w:t>
      </w:r>
    </w:p>
    <w:p w:rsidR="00000000" w:rsidRPr="000B3740" w:rsidP="000B3740">
      <w:pPr>
        <w:pStyle w:val="ListBullet"/>
      </w:pPr>
      <w:r w:rsidRPr="000B3740">
        <w:t>emission detection and security monitoring data</w:t>
      </w:r>
    </w:p>
    <w:p w:rsidR="00000000" w:rsidRPr="000B3740" w:rsidP="000B3740">
      <w:pPr>
        <w:pStyle w:val="ListBullet"/>
      </w:pPr>
      <w:r w:rsidRPr="000B3740">
        <w:t>implications of ignoring safety precautions used with emission monitoring, security incident identification and audit processing of storage containers</w:t>
      </w:r>
    </w:p>
    <w:p w:rsidR="00000000" w:rsidRPr="000B3740" w:rsidP="000B3740">
      <w:pPr>
        <w:pStyle w:val="ListBullet"/>
      </w:pPr>
      <w:r w:rsidRPr="000B3740">
        <w:t xml:space="preserve">key features </w:t>
      </w:r>
      <w:r w:rsidRPr="000B3740">
        <w:t>of legislation, regulations, Australian Standards and licensing relevant to monitoring and storing scheduled gaseous fire-extinguishing agents:</w:t>
      </w:r>
    </w:p>
    <w:p w:rsidR="00000000" w:rsidRPr="000B3740" w:rsidP="000B3740">
      <w:pPr>
        <w:pStyle w:val="ListBullet2"/>
      </w:pPr>
      <w:r w:rsidRPr="000B3740">
        <w:t>environmental protection, ODS and SGG emission requirements</w:t>
      </w:r>
    </w:p>
    <w:p w:rsidR="00000000" w:rsidRPr="000B3740" w:rsidP="000B3740">
      <w:pPr>
        <w:pStyle w:val="ListBullet2"/>
      </w:pPr>
      <w:r w:rsidRPr="000B3740">
        <w:t>extinguishing agent handling licence (EAHL) require</w:t>
      </w:r>
      <w:r w:rsidRPr="000B3740">
        <w:t>ments</w:t>
      </w:r>
    </w:p>
    <w:p w:rsidR="00000000" w:rsidRPr="000B3740" w:rsidP="000B3740">
      <w:pPr>
        <w:pStyle w:val="ListBullet2"/>
      </w:pPr>
      <w:r w:rsidRPr="000B3740">
        <w:t>records and documentation</w:t>
      </w:r>
    </w:p>
    <w:p w:rsidR="00000000" w:rsidRPr="000B3740" w:rsidP="000B3740">
      <w:pPr>
        <w:pStyle w:val="ListBullet"/>
      </w:pPr>
      <w:r w:rsidRPr="000B3740">
        <w:t>manual-handling techniques and aids to move gaseous fire-extinguishing agent containers</w:t>
      </w:r>
    </w:p>
    <w:p w:rsidR="00000000" w:rsidRPr="000B3740" w:rsidP="000B3740">
      <w:pPr>
        <w:pStyle w:val="ListBullet"/>
      </w:pPr>
      <w:r w:rsidRPr="000B3740">
        <w:t>methods for:</w:t>
      </w:r>
    </w:p>
    <w:p w:rsidR="00000000" w:rsidRPr="000B3740" w:rsidP="000B3740">
      <w:pPr>
        <w:pStyle w:val="ListBullet2"/>
      </w:pPr>
      <w:r w:rsidRPr="000B3740">
        <w:t>investigating detected emissions and security incidents</w:t>
      </w:r>
    </w:p>
    <w:p w:rsidR="00000000" w:rsidRPr="000B3740" w:rsidP="000B3740">
      <w:pPr>
        <w:pStyle w:val="ListBullet2"/>
      </w:pPr>
      <w:r w:rsidRPr="000B3740">
        <w:t>leak detection testing</w:t>
      </w:r>
    </w:p>
    <w:p w:rsidR="00000000" w:rsidRPr="000B3740" w:rsidP="000B3740">
      <w:pPr>
        <w:pStyle w:val="ListBullet"/>
      </w:pPr>
      <w:r w:rsidRPr="000B3740">
        <w:t>personal risk assessment and control proc</w:t>
      </w:r>
      <w:r w:rsidRPr="000B3740">
        <w:t>esses, from hazard identification through to action</w:t>
      </w:r>
    </w:p>
    <w:p w:rsidR="00000000" w:rsidRPr="000B3740" w:rsidP="000B3740">
      <w:pPr>
        <w:pStyle w:val="ListBullet"/>
      </w:pPr>
      <w:r w:rsidRPr="000B3740">
        <w:t>reasons and methods for preventing ODS and SGG emissions in the workplace</w:t>
      </w:r>
    </w:p>
    <w:p w:rsidR="00000000" w:rsidRPr="000B3740" w:rsidP="000B3740">
      <w:pPr>
        <w:pStyle w:val="ListBullet"/>
      </w:pPr>
      <w:r w:rsidRPr="000B3740">
        <w:t>types of:</w:t>
      </w:r>
    </w:p>
    <w:p w:rsidR="00000000" w:rsidRPr="000B3740" w:rsidP="000B3740">
      <w:pPr>
        <w:pStyle w:val="ListBullet2"/>
      </w:pPr>
      <w:r w:rsidRPr="000B3740">
        <w:t>containers used for storage of ODS and SGG materials</w:t>
      </w:r>
    </w:p>
    <w:p w:rsidR="00000000" w:rsidRPr="000B3740" w:rsidP="000B3740">
      <w:pPr>
        <w:pStyle w:val="ListBullet2"/>
      </w:pPr>
      <w:r w:rsidRPr="000B3740">
        <w:t>labels, numbers and codes used on ODS and SGG storage containers</w:t>
      </w:r>
    </w:p>
    <w:p w:rsidR="00000000" w:rsidRPr="000B3740" w:rsidP="000B3740">
      <w:pPr>
        <w:pStyle w:val="ListBullet2"/>
      </w:pPr>
      <w:r w:rsidRPr="000B3740">
        <w:t xml:space="preserve">materials found in ODS and SGG storage containers </w:t>
      </w:r>
    </w:p>
    <w:p w:rsidR="00000000" w:rsidRPr="000B3740" w:rsidP="000B3740">
      <w:pPr>
        <w:pStyle w:val="ListBullet"/>
      </w:pPr>
      <w:r w:rsidRPr="000B3740">
        <w:t>types and purpose of tools and equipment used when monitoring storage operations for scheduled gaseous fire-extinguishing agents:</w:t>
      </w:r>
    </w:p>
    <w:p w:rsidR="00000000" w:rsidRPr="000B3740" w:rsidP="000B3740">
      <w:pPr>
        <w:pStyle w:val="ListBullet2"/>
      </w:pPr>
      <w:r w:rsidRPr="000B3740">
        <w:t>leak detection devices</w:t>
      </w:r>
    </w:p>
    <w:p w:rsidR="00000000" w:rsidRPr="000B3740" w:rsidP="000B3740">
      <w:pPr>
        <w:pStyle w:val="ListBullet2"/>
      </w:pPr>
      <w:r w:rsidRPr="000B3740">
        <w:t>manual-handling aids</w:t>
      </w:r>
    </w:p>
    <w:p w:rsidR="00000000" w:rsidRPr="000B3740" w:rsidP="000B3740">
      <w:pPr>
        <w:pStyle w:val="ListBullet2"/>
      </w:pPr>
      <w:r w:rsidRPr="000B3740">
        <w:t>personal protective equipment</w:t>
      </w:r>
      <w:r w:rsidRPr="000B3740">
        <w:t xml:space="preserve"> (PPE)</w:t>
      </w:r>
    </w:p>
    <w:p w:rsidR="00000000" w:rsidRPr="000B3740" w:rsidP="000B3740">
      <w:pPr>
        <w:pStyle w:val="ListBullet"/>
      </w:pPr>
      <w:r w:rsidRPr="000B3740">
        <w:t>workplace requirements for monitoring storage operations for scheduled gaseous fire-extinguishing agents:</w:t>
      </w:r>
    </w:p>
    <w:p w:rsidR="00000000" w:rsidRPr="000B3740" w:rsidP="000B3740">
      <w:pPr>
        <w:pStyle w:val="ListBullet2"/>
      </w:pPr>
      <w:r w:rsidRPr="000B3740">
        <w:t>maintenance of tools and equipment</w:t>
      </w:r>
    </w:p>
    <w:p w:rsidR="00000000" w:rsidRPr="000B3740" w:rsidP="000B3740">
      <w:pPr>
        <w:pStyle w:val="ListBullet2"/>
      </w:pPr>
      <w:r w:rsidRPr="000B3740">
        <w:t>WHS, including hazard and risk identification and control.</w:t>
      </w:r>
    </w:p>
    <w:p w:rsidR="00000000" w:rsidRPr="000B3740" w:rsidP="000B3740">
      <w:pPr>
        <w:pStyle w:val="AllowPageBreak"/>
      </w:pPr>
    </w:p>
    <w:p w:rsidR="00000000" w:rsidRPr="000B3740" w:rsidP="000B3740">
      <w:pPr>
        <w:pStyle w:val="Heading1"/>
      </w:pPr>
      <w:bookmarkStart w:id="4" w:name="O_1163656"/>
      <w:bookmarkEnd w:id="4"/>
      <w:r w:rsidRPr="000B3740">
        <w:t>Assessment Conditions</w:t>
      </w:r>
    </w:p>
    <w:p w:rsidR="00000000" w:rsidRPr="000B3740" w:rsidP="006B28EE">
      <w:pPr>
        <w:pStyle w:val="BodyText"/>
      </w:pPr>
      <w:r w:rsidRPr="000B3740">
        <w:t>Assess</w:t>
      </w:r>
      <w:r w:rsidRPr="000B3740">
        <w:t xml:space="preserve">ors must meet the requirements for assessors contained in the Standards for Registered Training Organisations. </w:t>
      </w:r>
    </w:p>
    <w:p w:rsidR="00000000" w:rsidRPr="000B3740" w:rsidP="006B28EE">
      <w:pPr>
        <w:pStyle w:val="BodyText"/>
      </w:pPr>
      <w:r w:rsidRPr="000B3740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0B3740" w:rsidP="006B28EE">
      <w:pPr>
        <w:pStyle w:val="BodyText"/>
      </w:pPr>
      <w:r w:rsidRPr="000B3740">
        <w:t>Candidates must have access to documentation, tool</w:t>
      </w:r>
      <w:r w:rsidRPr="000B3740">
        <w:t>s, equipment, storage site and containers required to achieve the performance evidence.</w:t>
      </w:r>
    </w:p>
    <w:p w:rsidR="00000000" w:rsidRPr="000B3740" w:rsidP="000B3740">
      <w:pPr>
        <w:pStyle w:val="Heading1"/>
      </w:pPr>
      <w:bookmarkStart w:id="5" w:name="O_1163654"/>
      <w:bookmarkEnd w:id="5"/>
      <w:r w:rsidRPr="000B3740">
        <w:t>Links</w:t>
      </w:r>
    </w:p>
    <w:p w:rsidR="00000000" w:rsidRPr="000B3740" w:rsidP="006B28EE">
      <w:pPr>
        <w:pStyle w:val="BodyText"/>
      </w:pPr>
      <w:r w:rsidRPr="000B37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50AA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B3740" w:rsidP="000B3740"/>
    <w:sectPr w:rsidSect="000B37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40" w:rsidRPr="006B28EE" w:rsidP="006B2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EE" w:rsidP="000B3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28EE" w:rsidP="000B3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B28EE" w:rsidP="000B37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740" w:rsidRPr="006B28EE" w:rsidP="006B2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EE" w:rsidRPr="002D2AF8" w:rsidP="000B3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CPPFES2050 Monitor storage operations for scheduled gaseous fire-extinguishing agents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B28EE" w:rsidP="000B37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2CAF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BEE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08DA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740"/>
  </w:style>
  <w:style w:type="character" w:customStyle="1" w:styleId="Heading1Char">
    <w:name w:val="Heading 1 Char"/>
    <w:basedOn w:val="DefaultParagraphFont"/>
    <w:link w:val="Heading1"/>
    <w:rsid w:val="000B3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7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7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37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3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7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7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740"/>
    <w:rPr>
      <w:b/>
      <w:spacing w:val="0"/>
    </w:rPr>
  </w:style>
  <w:style w:type="paragraph" w:customStyle="1" w:styleId="SuperTitle">
    <w:name w:val="SuperTitle"/>
    <w:basedOn w:val="Title"/>
    <w:rsid w:val="000B3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7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740"/>
    <w:rPr>
      <w:i/>
    </w:rPr>
  </w:style>
  <w:style w:type="paragraph" w:styleId="Caption">
    <w:name w:val="caption"/>
    <w:basedOn w:val="BodyText"/>
    <w:next w:val="Normal"/>
    <w:qFormat/>
    <w:rsid w:val="000B3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740"/>
  </w:style>
  <w:style w:type="paragraph" w:styleId="TableofFigures">
    <w:name w:val="table of figures"/>
    <w:basedOn w:val="Normal"/>
    <w:next w:val="Normal"/>
    <w:semiHidden/>
    <w:rsid w:val="000B3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7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740"/>
    <w:rPr>
      <w:rFonts w:ascii="Wingdings" w:hAnsi="Wingdings"/>
    </w:rPr>
  </w:style>
  <w:style w:type="paragraph" w:customStyle="1" w:styleId="TableHeading">
    <w:name w:val="Table Heading"/>
    <w:basedOn w:val="HeadingBase"/>
    <w:rsid w:val="000B3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740"/>
    <w:rPr>
      <w:color w:val="0033CC"/>
      <w:u w:val="none"/>
    </w:rPr>
  </w:style>
  <w:style w:type="paragraph" w:customStyle="1" w:styleId="BodyTextRight">
    <w:name w:val="Body Text Right"/>
    <w:basedOn w:val="BodyText"/>
    <w:rsid w:val="000B3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7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740"/>
    <w:rPr>
      <w:sz w:val="32"/>
    </w:rPr>
  </w:style>
  <w:style w:type="paragraph" w:customStyle="1" w:styleId="HeadingProcedure">
    <w:name w:val="Heading Procedure"/>
    <w:basedOn w:val="HeadingBase"/>
    <w:next w:val="Normal"/>
    <w:rsid w:val="000B3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740"/>
    <w:pPr>
      <w:spacing w:before="60" w:after="60"/>
    </w:pPr>
  </w:style>
  <w:style w:type="paragraph" w:styleId="ListContinue">
    <w:name w:val="List Continue"/>
    <w:basedOn w:val="List"/>
    <w:rsid w:val="000B3740"/>
    <w:pPr>
      <w:ind w:firstLine="0"/>
    </w:pPr>
  </w:style>
  <w:style w:type="paragraph" w:customStyle="1" w:styleId="ListNote">
    <w:name w:val="List Note"/>
    <w:basedOn w:val="List"/>
    <w:rsid w:val="000B3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740"/>
    <w:rPr>
      <w:rFonts w:ascii="Courier New" w:hAnsi="Courier New"/>
    </w:rPr>
  </w:style>
  <w:style w:type="paragraph" w:customStyle="1" w:styleId="NoteBullet">
    <w:name w:val="Note Bullet"/>
    <w:basedOn w:val="Note"/>
    <w:rsid w:val="000B3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7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740"/>
    <w:rPr>
      <w:b/>
      <w:smallCaps/>
    </w:rPr>
  </w:style>
  <w:style w:type="paragraph" w:customStyle="1" w:styleId="TableListNumber">
    <w:name w:val="Table List Number"/>
    <w:basedOn w:val="ListNumber"/>
    <w:rsid w:val="000B3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740"/>
    <w:pPr>
      <w:numPr>
        <w:numId w:val="9"/>
      </w:numPr>
    </w:pPr>
  </w:style>
  <w:style w:type="paragraph" w:customStyle="1" w:styleId="ListAlpha2">
    <w:name w:val="List Alpha 2"/>
    <w:basedOn w:val="List2"/>
    <w:rsid w:val="000B3740"/>
    <w:pPr>
      <w:numPr>
        <w:numId w:val="8"/>
      </w:numPr>
    </w:pPr>
  </w:style>
  <w:style w:type="paragraph" w:styleId="List2">
    <w:name w:val="List 2"/>
    <w:basedOn w:val="BodyText"/>
    <w:rsid w:val="000B3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7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7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7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740"/>
    <w:pPr>
      <w:numPr>
        <w:numId w:val="4"/>
      </w:numPr>
    </w:pPr>
  </w:style>
  <w:style w:type="paragraph" w:styleId="ListContinue2">
    <w:name w:val="List Continue 2"/>
    <w:basedOn w:val="List2"/>
    <w:rsid w:val="000B3740"/>
    <w:pPr>
      <w:ind w:firstLine="0"/>
    </w:pPr>
  </w:style>
  <w:style w:type="paragraph" w:styleId="ListContinue3">
    <w:name w:val="List Continue 3"/>
    <w:basedOn w:val="List3"/>
    <w:rsid w:val="000B3740"/>
    <w:pPr>
      <w:ind w:left="1021" w:firstLine="0"/>
    </w:pPr>
  </w:style>
  <w:style w:type="paragraph" w:styleId="ListContinue4">
    <w:name w:val="List Continue 4"/>
    <w:basedOn w:val="List4"/>
    <w:rsid w:val="000B3740"/>
    <w:pPr>
      <w:ind w:firstLine="0"/>
    </w:pPr>
  </w:style>
  <w:style w:type="paragraph" w:styleId="ListContinue5">
    <w:name w:val="List Continue 5"/>
    <w:basedOn w:val="List5"/>
    <w:rsid w:val="000B3740"/>
    <w:pPr>
      <w:ind w:firstLine="0"/>
    </w:pPr>
  </w:style>
  <w:style w:type="paragraph" w:styleId="ListNumber3">
    <w:name w:val="List Number 3"/>
    <w:basedOn w:val="List3"/>
    <w:rsid w:val="000B3740"/>
    <w:pPr>
      <w:numPr>
        <w:numId w:val="5"/>
      </w:numPr>
    </w:pPr>
  </w:style>
  <w:style w:type="paragraph" w:styleId="ListNumber4">
    <w:name w:val="List Number 4"/>
    <w:basedOn w:val="List4"/>
    <w:rsid w:val="000B3740"/>
    <w:pPr>
      <w:numPr>
        <w:numId w:val="6"/>
      </w:numPr>
    </w:pPr>
  </w:style>
  <w:style w:type="paragraph" w:styleId="ListNumber5">
    <w:name w:val="List Number 5"/>
    <w:basedOn w:val="List5"/>
    <w:rsid w:val="000B3740"/>
    <w:pPr>
      <w:numPr>
        <w:numId w:val="7"/>
      </w:numPr>
    </w:pPr>
  </w:style>
  <w:style w:type="paragraph" w:styleId="BlockText">
    <w:name w:val="Block Text"/>
    <w:basedOn w:val="Normal"/>
    <w:rsid w:val="000B3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740"/>
    <w:rPr>
      <w:sz w:val="16"/>
      <w:vertAlign w:val="superscript"/>
    </w:rPr>
  </w:style>
  <w:style w:type="character" w:customStyle="1" w:styleId="Symbols">
    <w:name w:val="Symbols"/>
    <w:basedOn w:val="DefaultParagraphFont"/>
    <w:rsid w:val="000B3740"/>
    <w:rPr>
      <w:rFonts w:ascii="Symbol" w:hAnsi="Symbol"/>
    </w:rPr>
  </w:style>
  <w:style w:type="character" w:customStyle="1" w:styleId="MenuOptions">
    <w:name w:val="Menu Options"/>
    <w:basedOn w:val="DefaultParagraphFont"/>
    <w:rsid w:val="000B3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740"/>
    <w:rPr>
      <w:b/>
    </w:rPr>
  </w:style>
  <w:style w:type="character" w:customStyle="1" w:styleId="Underlined">
    <w:name w:val="Underlined"/>
    <w:basedOn w:val="DefaultParagraphFont"/>
    <w:rsid w:val="000B3740"/>
    <w:rPr>
      <w:u w:val="single"/>
    </w:rPr>
  </w:style>
  <w:style w:type="paragraph" w:customStyle="1" w:styleId="TableBodyTextRight">
    <w:name w:val="Table Body Text Right"/>
    <w:basedOn w:val="TableBodyText"/>
    <w:rsid w:val="000B3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740"/>
    <w:rPr>
      <w:sz w:val="18"/>
    </w:rPr>
  </w:style>
  <w:style w:type="paragraph" w:customStyle="1" w:styleId="BodySmallRight">
    <w:name w:val="Body Small Right"/>
    <w:basedOn w:val="BodyTextRight"/>
    <w:rsid w:val="000B3740"/>
    <w:rPr>
      <w:sz w:val="18"/>
      <w:szCs w:val="18"/>
    </w:rPr>
  </w:style>
  <w:style w:type="paragraph" w:customStyle="1" w:styleId="MarginEdition">
    <w:name w:val="Margin Edition"/>
    <w:basedOn w:val="MarginNote"/>
    <w:rsid w:val="000B3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740"/>
    <w:rPr>
      <w:sz w:val="2"/>
      <w:szCs w:val="2"/>
    </w:rPr>
  </w:style>
  <w:style w:type="character" w:customStyle="1" w:styleId="Small">
    <w:name w:val="Small"/>
    <w:basedOn w:val="DefaultParagraphFont"/>
    <w:rsid w:val="000B3740"/>
    <w:rPr>
      <w:sz w:val="16"/>
    </w:rPr>
  </w:style>
  <w:style w:type="paragraph" w:customStyle="1" w:styleId="WideTable">
    <w:name w:val="Wide Table"/>
    <w:basedOn w:val="Normal"/>
    <w:rsid w:val="000B3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740"/>
  </w:style>
  <w:style w:type="paragraph" w:styleId="Quote">
    <w:name w:val="Quote"/>
    <w:basedOn w:val="Heading1"/>
    <w:link w:val="QuoteChar"/>
    <w:qFormat/>
    <w:rsid w:val="000B3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740"/>
    <w:pPr>
      <w:pageBreakBefore/>
    </w:pPr>
  </w:style>
  <w:style w:type="paragraph" w:customStyle="1" w:styleId="Border">
    <w:name w:val="Border"/>
    <w:basedOn w:val="Normal"/>
    <w:qFormat/>
    <w:rsid w:val="000B3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740"/>
    <w:rPr>
      <w:u w:val="single"/>
    </w:rPr>
  </w:style>
  <w:style w:type="character" w:customStyle="1" w:styleId="BoldandItalics">
    <w:name w:val="Bold and Italics"/>
    <w:qFormat/>
    <w:rsid w:val="000B3740"/>
    <w:rPr>
      <w:b/>
      <w:i/>
      <w:u w:val="none"/>
    </w:rPr>
  </w:style>
  <w:style w:type="paragraph" w:styleId="BalloonText">
    <w:name w:val="Balloon Text"/>
    <w:basedOn w:val="Normal"/>
    <w:link w:val="BalloonTextChar"/>
    <w:rsid w:val="000B3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740"/>
    <w:pPr>
      <w:spacing w:before="0" w:after="0"/>
    </w:pPr>
  </w:style>
  <w:style w:type="paragraph" w:customStyle="1" w:styleId="BodyTextBold">
    <w:name w:val="Body Text Bold"/>
    <w:basedOn w:val="BodyText"/>
    <w:qFormat/>
    <w:rsid w:val="000B3740"/>
    <w:rPr>
      <w:b/>
    </w:rPr>
  </w:style>
  <w:style w:type="character" w:styleId="Hyperlink">
    <w:name w:val="Hyperlink"/>
    <w:basedOn w:val="DefaultParagraphFont"/>
    <w:uiPriority w:val="99"/>
    <w:unhideWhenUsed/>
    <w:rsid w:val="006B2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3159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CPPFES2050 Monitor storage operations for scheduled gaseous fire-extinguishing agents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2022-12-19T05:57:00Z</dcterms:created>
  <dcterms:modified xsi:type="dcterms:W3CDTF">2022-12-19T05:57:00Z</dcterms:modified>
</cp:coreProperties>
</file>