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F329E" w:rsidP="00BF329E">
      <w:pPr>
        <w:pStyle w:val="Title"/>
      </w:pPr>
      <w:r>
        <w:fldChar w:fldCharType="begin"/>
      </w:r>
      <w:r>
        <w:instrText xml:space="preserve"> TITLE   \* MERGEFORMAT </w:instrText>
      </w:r>
      <w:r>
        <w:fldChar w:fldCharType="separate"/>
      </w:r>
      <w:r>
        <w:t>CPPFES2049 Conduct recovery, reclaim and fill operations for scheduled gaseous fire-extinguishing agents</w:t>
      </w:r>
      <w:r>
        <w:fldChar w:fldCharType="end"/>
      </w:r>
    </w:p>
    <w:p w:rsidR="00BF329E" w:rsidP="00BF329E">
      <w:pPr>
        <w:pStyle w:val="Version"/>
        <w:sectPr w:rsidSect="00902B9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02B98" w:rsidP="00902B98">
      <w:pPr>
        <w:pStyle w:val="SuperHeading"/>
      </w:pPr>
      <w:r w:rsidRPr="00902B98">
        <w:t>CPPFES2049 Conduct recovery, reclaim and fill operations for scheduled gaseous fire-extinguishing agents</w:t>
      </w:r>
    </w:p>
    <w:p w:rsidR="00000000" w:rsidRPr="00902B98" w:rsidP="00902B98">
      <w:pPr>
        <w:pStyle w:val="Heading1"/>
      </w:pPr>
      <w:bookmarkStart w:id="1" w:name="O_1163642"/>
      <w:bookmarkEnd w:id="1"/>
      <w:r w:rsidRPr="00902B98">
        <w:t>Modification History</w:t>
      </w:r>
    </w:p>
    <w:tbl>
      <w:tblPr>
        <w:tblW w:w="0" w:type="auto"/>
        <w:tblLayout w:type="fixed"/>
        <w:tblCellMar>
          <w:left w:w="62" w:type="dxa"/>
          <w:right w:w="62" w:type="dxa"/>
        </w:tblCellMar>
        <w:tblLook w:val="0000"/>
      </w:tblPr>
      <w:tblGrid>
        <w:gridCol w:w="1305"/>
        <w:gridCol w:w="7597"/>
      </w:tblGrid>
      <w:tr w:rsidTr="00902B98">
        <w:tblPrEx>
          <w:tblW w:w="0" w:type="auto"/>
          <w:tblLayout w:type="fixed"/>
          <w:tblCellMar>
            <w:left w:w="62" w:type="dxa"/>
            <w:right w:w="62" w:type="dxa"/>
          </w:tblCellMar>
          <w:tblLook w:val="0000"/>
        </w:tblPrEx>
        <w:tc>
          <w:tcPr>
            <w:tcW w:w="1305" w:type="dxa"/>
            <w:tcBorders>
              <w:top w:val="nil"/>
              <w:left w:val="nil"/>
              <w:bottom w:val="nil"/>
              <w:right w:val="nil"/>
            </w:tcBorders>
            <w:tcMar>
              <w:top w:w="0" w:type="dxa"/>
              <w:left w:w="62" w:type="dxa"/>
              <w:bottom w:w="0" w:type="dxa"/>
              <w:right w:w="62" w:type="dxa"/>
            </w:tcMar>
          </w:tcPr>
          <w:p w:rsidR="00000000" w:rsidP="00902B98">
            <w:pPr>
              <w:pStyle w:val="BodyText"/>
              <w:rPr>
                <w:lang w:val="en-NZ"/>
              </w:rPr>
            </w:pPr>
            <w:r w:rsidRPr="00902B98">
              <w:t>Release 1</w:t>
            </w:r>
          </w:p>
        </w:tc>
        <w:tc>
          <w:tcPr>
            <w:tcW w:w="7597" w:type="dxa"/>
            <w:tcBorders>
              <w:top w:val="nil"/>
              <w:left w:val="nil"/>
              <w:bottom w:val="nil"/>
              <w:right w:val="nil"/>
            </w:tcBorders>
            <w:tcMar>
              <w:top w:w="0" w:type="dxa"/>
              <w:left w:w="62" w:type="dxa"/>
              <w:bottom w:w="0" w:type="dxa"/>
              <w:right w:w="62" w:type="dxa"/>
            </w:tcMar>
          </w:tcPr>
          <w:p w:rsidR="00000000" w:rsidRPr="00902B98" w:rsidP="00902B98">
            <w:pPr>
              <w:pStyle w:val="BodyText"/>
            </w:pPr>
            <w:r w:rsidRPr="00902B98">
              <w:t>This version first released with CPP Property Services Training Package Release 13.0.</w:t>
            </w:r>
          </w:p>
          <w:p w:rsidR="00000000" w:rsidRPr="00902B98" w:rsidP="00902B98">
            <w:pPr>
              <w:pStyle w:val="BodyText"/>
            </w:pPr>
            <w:r w:rsidRPr="00902B98">
              <w:t>Supersedes and is equivalent to CPPFES2049A Conduct recovery, reclaim and fill operations for scheduled gaseous fire-extinguishing agents.  Unit updated to meet the Standards for Training Packages 2012.</w:t>
            </w:r>
          </w:p>
        </w:tc>
      </w:tr>
    </w:tbl>
    <w:p w:rsidR="00000000" w:rsidRPr="00902B98" w:rsidP="00902B98">
      <w:pPr>
        <w:pStyle w:val="BodyText"/>
      </w:pPr>
    </w:p>
    <w:p w:rsidR="00000000" w:rsidRPr="00902B98" w:rsidP="00902B98">
      <w:pPr>
        <w:pStyle w:val="AllowPageBreak"/>
      </w:pPr>
    </w:p>
    <w:p w:rsidR="00000000" w:rsidRPr="00902B98" w:rsidP="00902B98">
      <w:pPr>
        <w:pStyle w:val="Heading1"/>
      </w:pPr>
      <w:bookmarkStart w:id="2" w:name="O_1163648"/>
      <w:bookmarkEnd w:id="2"/>
      <w:r w:rsidRPr="00902B98">
        <w:t>Application</w:t>
      </w:r>
    </w:p>
    <w:p w:rsidR="00000000" w:rsidRPr="00902B98" w:rsidP="00BF329E">
      <w:pPr>
        <w:pStyle w:val="BodyText"/>
      </w:pPr>
      <w:r w:rsidRPr="00902B98">
        <w:t>This unit of compete</w:t>
      </w:r>
      <w:r w:rsidRPr="00902B98">
        <w:t>ncy specifies the skills and knowledge required to use processing equipment to recover and reclaim ozone depleting substances (ODS) and synthetic greenhouse gases (SGG), and fill ODS and SGG containers.</w:t>
      </w:r>
    </w:p>
    <w:p w:rsidR="00000000" w:rsidRPr="00902B98" w:rsidP="00BF329E">
      <w:pPr>
        <w:pStyle w:val="BodyText"/>
      </w:pPr>
      <w:r w:rsidRPr="00902B98">
        <w:t xml:space="preserve">The unit is suitable for those with basic skills and </w:t>
      </w:r>
      <w:r w:rsidRPr="00902B98">
        <w:t>knowledge undertaking routine work tasks under the direction of more experienced workers.</w:t>
      </w:r>
    </w:p>
    <w:p w:rsidR="00000000" w:rsidRPr="00902B98" w:rsidP="00BF329E">
      <w:pPr>
        <w:pStyle w:val="BodyText"/>
      </w:pPr>
      <w:r w:rsidRPr="00902B98">
        <w:t>ODS and SGG are gaseous fire-extinguishing agents listed in Schedule 1 of the Ozone Protection and Synthetic Greenhouse Gas Management Act 1989 and by law, can only b</w:t>
      </w:r>
      <w:r w:rsidRPr="00902B98">
        <w:t>e handled by people who hold an appropriate extinguishing agent handling licence (EAHL). This unit supports one or more EAHLs prescribed under the Act. For further information, check with the relevant regulatory authority.</w:t>
      </w:r>
    </w:p>
    <w:p w:rsidR="00000000" w:rsidRPr="00902B98" w:rsidP="00902B98">
      <w:pPr>
        <w:pStyle w:val="Heading1"/>
      </w:pPr>
      <w:bookmarkStart w:id="3" w:name="O_1163647"/>
      <w:bookmarkEnd w:id="3"/>
      <w:r w:rsidRPr="00902B98">
        <w:t xml:space="preserve">Pre-requisite </w:t>
      </w:r>
      <w:r w:rsidRPr="00902B98">
        <w:t>Unit</w:t>
      </w:r>
    </w:p>
    <w:p w:rsidR="00000000" w:rsidRPr="00902B98" w:rsidP="00BF329E">
      <w:pPr>
        <w:pStyle w:val="BodyText"/>
      </w:pPr>
      <w:r w:rsidRPr="00902B98">
        <w:t>Nil.</w:t>
      </w:r>
    </w:p>
    <w:p w:rsidR="00000000" w:rsidRPr="00902B98" w:rsidP="00902B98">
      <w:pPr>
        <w:pStyle w:val="Heading1"/>
      </w:pPr>
      <w:bookmarkStart w:id="4" w:name="O_1163646"/>
      <w:bookmarkEnd w:id="4"/>
      <w:r w:rsidRPr="00902B98">
        <w:t>Unit Sector</w:t>
      </w:r>
    </w:p>
    <w:p w:rsidR="00000000" w:rsidRPr="00902B98" w:rsidP="00BF329E">
      <w:pPr>
        <w:pStyle w:val="BodyText"/>
      </w:pPr>
      <w:r w:rsidRPr="00902B98">
        <w:t>Fire Protection Inspection and Testing</w:t>
      </w:r>
    </w:p>
    <w:p w:rsidR="00000000" w:rsidRPr="00902B98" w:rsidP="00902B98">
      <w:pPr>
        <w:pStyle w:val="Heading1"/>
      </w:pPr>
      <w:bookmarkStart w:id="5" w:name="O_1163645"/>
      <w:bookmarkEnd w:id="5"/>
      <w:r w:rsidRPr="00902B98">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902B98">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902B98">
            <w:pPr>
              <w:pStyle w:val="BodyText"/>
              <w:rPr>
                <w:lang w:val="en-NZ"/>
              </w:rPr>
            </w:pPr>
            <w:r w:rsidRPr="00902B98">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902B98">
            <w:pPr>
              <w:pStyle w:val="BodyText"/>
              <w:rPr>
                <w:lang w:val="en-NZ"/>
              </w:rPr>
            </w:pPr>
            <w:r w:rsidRPr="00902B98">
              <w:t>Performance criteria describe what needs to be done to demonstrate achievement of the element.</w:t>
            </w:r>
          </w:p>
        </w:tc>
      </w:tr>
      <w:tr w:rsidTr="00902B98">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902B98">
            <w:pPr>
              <w:pStyle w:val="BodyText"/>
              <w:rPr>
                <w:lang w:val="en-NZ"/>
              </w:rPr>
            </w:pPr>
            <w:r w:rsidRPr="00902B98">
              <w:t>1</w:t>
            </w:r>
          </w:p>
        </w:tc>
        <w:tc>
          <w:tcPr>
            <w:tcW w:w="2357" w:type="dxa"/>
            <w:vMerge w:val="restart"/>
            <w:tcBorders>
              <w:top w:val="nil"/>
              <w:left w:val="nil"/>
              <w:bottom w:val="nil"/>
              <w:right w:val="nil"/>
            </w:tcBorders>
            <w:tcMar>
              <w:top w:w="0" w:type="dxa"/>
              <w:left w:w="62" w:type="dxa"/>
              <w:bottom w:w="0" w:type="dxa"/>
              <w:right w:w="62" w:type="dxa"/>
            </w:tcMar>
          </w:tcPr>
          <w:p w:rsidR="00000000" w:rsidP="00902B98">
            <w:pPr>
              <w:pStyle w:val="BodyText"/>
              <w:rPr>
                <w:lang w:val="en-NZ"/>
              </w:rPr>
            </w:pPr>
            <w:r w:rsidRPr="00902B98">
              <w:t>Plan and prepare for ODS and SGG recovery.</w:t>
            </w:r>
          </w:p>
        </w:tc>
        <w:tc>
          <w:tcPr>
            <w:tcW w:w="804" w:type="dxa"/>
            <w:tcBorders>
              <w:top w:val="nil"/>
              <w:left w:val="nil"/>
              <w:bottom w:val="nil"/>
              <w:right w:val="nil"/>
            </w:tcBorders>
            <w:tcMar>
              <w:top w:w="0" w:type="dxa"/>
              <w:left w:w="62" w:type="dxa"/>
              <w:bottom w:w="0" w:type="dxa"/>
              <w:right w:w="62" w:type="dxa"/>
            </w:tcMar>
          </w:tcPr>
          <w:p w:rsidR="00000000" w:rsidP="00902B98">
            <w:pPr>
              <w:pStyle w:val="BodyText"/>
              <w:rPr>
                <w:lang w:val="en-NZ"/>
              </w:rPr>
            </w:pPr>
            <w:r w:rsidRPr="00902B98">
              <w:t>1.1</w:t>
            </w:r>
          </w:p>
        </w:tc>
        <w:tc>
          <w:tcPr>
            <w:tcW w:w="5659" w:type="dxa"/>
            <w:tcBorders>
              <w:top w:val="nil"/>
              <w:left w:val="nil"/>
              <w:bottom w:val="nil"/>
              <w:right w:val="nil"/>
            </w:tcBorders>
            <w:tcMar>
              <w:top w:w="0" w:type="dxa"/>
              <w:left w:w="62" w:type="dxa"/>
              <w:bottom w:w="0" w:type="dxa"/>
              <w:right w:w="62" w:type="dxa"/>
            </w:tcMar>
          </w:tcPr>
          <w:p w:rsidR="00000000" w:rsidP="00902B98">
            <w:pPr>
              <w:pStyle w:val="BodyText"/>
              <w:rPr>
                <w:lang w:val="en-NZ"/>
              </w:rPr>
            </w:pPr>
            <w:r w:rsidRPr="00902B98">
              <w:t>Read work instructions to clarify types and processing requirements of ODS and SGG extinguishing agents and co</w:t>
            </w:r>
            <w:r w:rsidRPr="00902B98">
              <w:t>ntainers.</w:t>
            </w:r>
          </w:p>
        </w:tc>
      </w:tr>
      <w:tr w:rsidTr="00902B9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02B98">
            <w:pPr>
              <w:pStyle w:val="BodyText"/>
              <w:rPr>
                <w:lang w:val="en-NZ"/>
              </w:rPr>
            </w:pPr>
            <w:r w:rsidRPr="00902B98">
              <w:t>1.2</w:t>
            </w:r>
          </w:p>
        </w:tc>
        <w:tc>
          <w:tcPr>
            <w:tcW w:w="5659" w:type="dxa"/>
            <w:tcBorders>
              <w:top w:val="nil"/>
              <w:left w:val="nil"/>
              <w:bottom w:val="nil"/>
              <w:right w:val="nil"/>
            </w:tcBorders>
            <w:tcMar>
              <w:top w:w="0" w:type="dxa"/>
              <w:left w:w="62" w:type="dxa"/>
              <w:bottom w:w="0" w:type="dxa"/>
              <w:right w:w="62" w:type="dxa"/>
            </w:tcMar>
          </w:tcPr>
          <w:p w:rsidR="00000000" w:rsidP="00902B98">
            <w:pPr>
              <w:pStyle w:val="BodyText"/>
              <w:rPr>
                <w:lang w:val="en-NZ"/>
              </w:rPr>
            </w:pPr>
            <w:r w:rsidRPr="00902B98">
              <w:t>Plan work activities to prevent ODS and SGG emissions and comply with relevant Australian Standards, regulatory, work health and safety (WHS) and workplace requirements.</w:t>
            </w:r>
          </w:p>
        </w:tc>
      </w:tr>
      <w:tr w:rsidTr="00902B9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02B98">
            <w:pPr>
              <w:pStyle w:val="BodyText"/>
              <w:rPr>
                <w:lang w:val="en-NZ"/>
              </w:rPr>
            </w:pPr>
            <w:r w:rsidRPr="00902B98">
              <w:t>1.3</w:t>
            </w:r>
          </w:p>
        </w:tc>
        <w:tc>
          <w:tcPr>
            <w:tcW w:w="5659" w:type="dxa"/>
            <w:tcBorders>
              <w:top w:val="nil"/>
              <w:left w:val="nil"/>
              <w:bottom w:val="nil"/>
              <w:right w:val="nil"/>
            </w:tcBorders>
            <w:tcMar>
              <w:top w:w="0" w:type="dxa"/>
              <w:left w:w="62" w:type="dxa"/>
              <w:bottom w:w="0" w:type="dxa"/>
              <w:right w:w="62" w:type="dxa"/>
            </w:tcMar>
          </w:tcPr>
          <w:p w:rsidR="00000000" w:rsidP="00902B98">
            <w:pPr>
              <w:pStyle w:val="BodyText"/>
              <w:rPr>
                <w:lang w:val="en-NZ"/>
              </w:rPr>
            </w:pPr>
            <w:r w:rsidRPr="00902B98">
              <w:t>Identify potential and actual breaches of rules and regulations associated with work instructions and take required action to ensure compliance according to regulatory and workplace requirements.</w:t>
            </w:r>
          </w:p>
        </w:tc>
      </w:tr>
      <w:tr w:rsidTr="00902B9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02B98">
            <w:pPr>
              <w:pStyle w:val="BodyText"/>
              <w:rPr>
                <w:lang w:val="en-NZ"/>
              </w:rPr>
            </w:pPr>
            <w:r w:rsidRPr="00902B98">
              <w:t>1.4</w:t>
            </w:r>
          </w:p>
        </w:tc>
        <w:tc>
          <w:tcPr>
            <w:tcW w:w="5659" w:type="dxa"/>
            <w:tcBorders>
              <w:top w:val="nil"/>
              <w:left w:val="nil"/>
              <w:bottom w:val="nil"/>
              <w:right w:val="nil"/>
            </w:tcBorders>
            <w:tcMar>
              <w:top w:w="0" w:type="dxa"/>
              <w:left w:w="62" w:type="dxa"/>
              <w:bottom w:w="0" w:type="dxa"/>
              <w:right w:w="62" w:type="dxa"/>
            </w:tcMar>
          </w:tcPr>
          <w:p w:rsidR="00000000" w:rsidP="00902B98">
            <w:pPr>
              <w:pStyle w:val="BodyText"/>
              <w:rPr>
                <w:lang w:val="en-NZ"/>
              </w:rPr>
            </w:pPr>
            <w:r w:rsidRPr="00902B98">
              <w:t>Select and use required tools and equipment, includin</w:t>
            </w:r>
            <w:r w:rsidRPr="00902B98">
              <w:t>g personal protective equipment (PPE).</w:t>
            </w:r>
          </w:p>
        </w:tc>
      </w:tr>
      <w:tr w:rsidTr="00902B9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02B98">
            <w:pPr>
              <w:pStyle w:val="BodyText"/>
              <w:rPr>
                <w:lang w:val="en-NZ"/>
              </w:rPr>
            </w:pPr>
            <w:r w:rsidRPr="00902B98">
              <w:t>1.5</w:t>
            </w:r>
          </w:p>
        </w:tc>
        <w:tc>
          <w:tcPr>
            <w:tcW w:w="5659" w:type="dxa"/>
            <w:tcBorders>
              <w:top w:val="nil"/>
              <w:left w:val="nil"/>
              <w:bottom w:val="nil"/>
              <w:right w:val="nil"/>
            </w:tcBorders>
            <w:tcMar>
              <w:top w:w="0" w:type="dxa"/>
              <w:left w:w="62" w:type="dxa"/>
              <w:bottom w:w="0" w:type="dxa"/>
              <w:right w:w="62" w:type="dxa"/>
            </w:tcMar>
          </w:tcPr>
          <w:p w:rsidR="00000000" w:rsidP="00902B98">
            <w:pPr>
              <w:pStyle w:val="BodyText"/>
              <w:rPr>
                <w:lang w:val="en-NZ"/>
              </w:rPr>
            </w:pPr>
            <w:r w:rsidRPr="00902B98">
              <w:t>Identify and prepare to control hazards in the work area according to workplace requirements.</w:t>
            </w:r>
          </w:p>
        </w:tc>
      </w:tr>
      <w:tr w:rsidTr="00902B98">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902B98">
            <w:pPr>
              <w:pStyle w:val="BodyText"/>
              <w:rPr>
                <w:lang w:val="en-NZ"/>
              </w:rPr>
            </w:pPr>
          </w:p>
        </w:tc>
      </w:tr>
      <w:tr w:rsidTr="00902B98">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902B98">
            <w:pPr>
              <w:pStyle w:val="BodyText"/>
              <w:rPr>
                <w:lang w:val="en-NZ"/>
              </w:rPr>
            </w:pPr>
            <w:r w:rsidRPr="00902B98">
              <w:t>2</w:t>
            </w:r>
          </w:p>
        </w:tc>
        <w:tc>
          <w:tcPr>
            <w:tcW w:w="2357" w:type="dxa"/>
            <w:vMerge w:val="restart"/>
            <w:tcBorders>
              <w:top w:val="nil"/>
              <w:left w:val="nil"/>
              <w:bottom w:val="nil"/>
              <w:right w:val="nil"/>
            </w:tcBorders>
            <w:tcMar>
              <w:top w:w="0" w:type="dxa"/>
              <w:left w:w="62" w:type="dxa"/>
              <w:bottom w:w="0" w:type="dxa"/>
              <w:right w:w="62" w:type="dxa"/>
            </w:tcMar>
          </w:tcPr>
          <w:p w:rsidR="00000000" w:rsidP="00902B98">
            <w:pPr>
              <w:pStyle w:val="BodyText"/>
              <w:rPr>
                <w:lang w:val="en-NZ"/>
              </w:rPr>
            </w:pPr>
            <w:r w:rsidRPr="00902B98">
              <w:t>Prepare processing equipment for operation.</w:t>
            </w:r>
          </w:p>
        </w:tc>
        <w:tc>
          <w:tcPr>
            <w:tcW w:w="804" w:type="dxa"/>
            <w:tcBorders>
              <w:top w:val="nil"/>
              <w:left w:val="nil"/>
              <w:bottom w:val="nil"/>
              <w:right w:val="nil"/>
            </w:tcBorders>
            <w:tcMar>
              <w:top w:w="0" w:type="dxa"/>
              <w:left w:w="62" w:type="dxa"/>
              <w:bottom w:w="0" w:type="dxa"/>
              <w:right w:w="62" w:type="dxa"/>
            </w:tcMar>
          </w:tcPr>
          <w:p w:rsidR="00000000" w:rsidP="00902B98">
            <w:pPr>
              <w:pStyle w:val="BodyText"/>
              <w:rPr>
                <w:lang w:val="en-NZ"/>
              </w:rPr>
            </w:pPr>
            <w:r w:rsidRPr="00902B98">
              <w:t>2.1</w:t>
            </w:r>
          </w:p>
        </w:tc>
        <w:tc>
          <w:tcPr>
            <w:tcW w:w="5659" w:type="dxa"/>
            <w:tcBorders>
              <w:top w:val="nil"/>
              <w:left w:val="nil"/>
              <w:bottom w:val="nil"/>
              <w:right w:val="nil"/>
            </w:tcBorders>
            <w:tcMar>
              <w:top w:w="0" w:type="dxa"/>
              <w:left w:w="62" w:type="dxa"/>
              <w:bottom w:w="0" w:type="dxa"/>
              <w:right w:w="62" w:type="dxa"/>
            </w:tcMar>
          </w:tcPr>
          <w:p w:rsidR="00000000" w:rsidP="00902B98">
            <w:pPr>
              <w:pStyle w:val="BodyText"/>
              <w:rPr>
                <w:lang w:val="en-NZ"/>
              </w:rPr>
            </w:pPr>
            <w:r w:rsidRPr="00902B98">
              <w:t>Set up processing equipment according to manufacturer requirements.</w:t>
            </w:r>
          </w:p>
        </w:tc>
      </w:tr>
      <w:tr w:rsidTr="00902B9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02B98">
            <w:pPr>
              <w:pStyle w:val="BodyText"/>
              <w:rPr>
                <w:lang w:val="en-NZ"/>
              </w:rPr>
            </w:pPr>
            <w:r w:rsidRPr="00902B98">
              <w:t>2.2</w:t>
            </w:r>
          </w:p>
        </w:tc>
        <w:tc>
          <w:tcPr>
            <w:tcW w:w="5659" w:type="dxa"/>
            <w:tcBorders>
              <w:top w:val="nil"/>
              <w:left w:val="nil"/>
              <w:bottom w:val="nil"/>
              <w:right w:val="nil"/>
            </w:tcBorders>
            <w:tcMar>
              <w:top w:w="0" w:type="dxa"/>
              <w:left w:w="62" w:type="dxa"/>
              <w:bottom w:w="0" w:type="dxa"/>
              <w:right w:w="62" w:type="dxa"/>
            </w:tcMar>
          </w:tcPr>
          <w:p w:rsidR="00000000" w:rsidP="00902B98">
            <w:pPr>
              <w:pStyle w:val="BodyText"/>
              <w:rPr>
                <w:lang w:val="en-NZ"/>
              </w:rPr>
            </w:pPr>
            <w:r w:rsidRPr="00902B98">
              <w:t>Pressurise processing equipment and check to ensure line holds pressure.</w:t>
            </w:r>
          </w:p>
        </w:tc>
      </w:tr>
      <w:tr w:rsidTr="00902B9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02B98">
            <w:pPr>
              <w:pStyle w:val="BodyText"/>
              <w:rPr>
                <w:lang w:val="en-NZ"/>
              </w:rPr>
            </w:pPr>
            <w:r w:rsidRPr="00902B98">
              <w:t>2.3</w:t>
            </w:r>
          </w:p>
        </w:tc>
        <w:tc>
          <w:tcPr>
            <w:tcW w:w="5659" w:type="dxa"/>
            <w:tcBorders>
              <w:top w:val="nil"/>
              <w:left w:val="nil"/>
              <w:bottom w:val="nil"/>
              <w:right w:val="nil"/>
            </w:tcBorders>
            <w:tcMar>
              <w:top w:w="0" w:type="dxa"/>
              <w:left w:w="62" w:type="dxa"/>
              <w:bottom w:w="0" w:type="dxa"/>
              <w:right w:w="62" w:type="dxa"/>
            </w:tcMar>
          </w:tcPr>
          <w:p w:rsidR="00000000" w:rsidP="00902B98">
            <w:pPr>
              <w:pStyle w:val="BodyText"/>
              <w:rPr>
                <w:lang w:val="en-NZ"/>
              </w:rPr>
            </w:pPr>
            <w:r w:rsidRPr="00902B98">
              <w:t>Perform leak detection test on processing equipment and connections.</w:t>
            </w:r>
          </w:p>
        </w:tc>
      </w:tr>
      <w:tr w:rsidTr="00902B9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02B98">
            <w:pPr>
              <w:pStyle w:val="BodyText"/>
              <w:rPr>
                <w:lang w:val="en-NZ"/>
              </w:rPr>
            </w:pPr>
            <w:r w:rsidRPr="00902B98">
              <w:t>2.4</w:t>
            </w:r>
          </w:p>
        </w:tc>
        <w:tc>
          <w:tcPr>
            <w:tcW w:w="5659" w:type="dxa"/>
            <w:tcBorders>
              <w:top w:val="nil"/>
              <w:left w:val="nil"/>
              <w:bottom w:val="nil"/>
              <w:right w:val="nil"/>
            </w:tcBorders>
            <w:tcMar>
              <w:top w:w="0" w:type="dxa"/>
              <w:left w:w="62" w:type="dxa"/>
              <w:bottom w:w="0" w:type="dxa"/>
              <w:right w:w="62" w:type="dxa"/>
            </w:tcMar>
          </w:tcPr>
          <w:p w:rsidR="00000000" w:rsidP="00902B98">
            <w:pPr>
              <w:pStyle w:val="BodyText"/>
              <w:rPr>
                <w:lang w:val="en-NZ"/>
              </w:rPr>
            </w:pPr>
            <w:r w:rsidRPr="00902B98">
              <w:t>Replace or recycle connections, filters and hoses as required before commencing processing.</w:t>
            </w:r>
          </w:p>
        </w:tc>
      </w:tr>
      <w:tr w:rsidTr="00902B9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02B98">
            <w:pPr>
              <w:pStyle w:val="BodyText"/>
              <w:rPr>
                <w:lang w:val="en-NZ"/>
              </w:rPr>
            </w:pPr>
            <w:r w:rsidRPr="00902B98">
              <w:t>2.5</w:t>
            </w:r>
          </w:p>
        </w:tc>
        <w:tc>
          <w:tcPr>
            <w:tcW w:w="5659" w:type="dxa"/>
            <w:tcBorders>
              <w:top w:val="nil"/>
              <w:left w:val="nil"/>
              <w:bottom w:val="nil"/>
              <w:right w:val="nil"/>
            </w:tcBorders>
            <w:tcMar>
              <w:top w:w="0" w:type="dxa"/>
              <w:left w:w="62" w:type="dxa"/>
              <w:bottom w:w="0" w:type="dxa"/>
              <w:right w:w="62" w:type="dxa"/>
            </w:tcMar>
          </w:tcPr>
          <w:p w:rsidR="00000000" w:rsidP="00902B98">
            <w:pPr>
              <w:pStyle w:val="BodyText"/>
              <w:rPr>
                <w:lang w:val="en-NZ"/>
              </w:rPr>
            </w:pPr>
            <w:r w:rsidRPr="00902B98">
              <w:t>Check equipment set-up for correct operation and rectify or report defects according to workplace requirements.</w:t>
            </w:r>
          </w:p>
        </w:tc>
      </w:tr>
      <w:tr w:rsidTr="00902B98">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902B98">
            <w:pPr>
              <w:pStyle w:val="BodyText"/>
              <w:rPr>
                <w:lang w:val="en-NZ"/>
              </w:rPr>
            </w:pPr>
          </w:p>
        </w:tc>
      </w:tr>
      <w:tr w:rsidTr="00902B98">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902B98">
            <w:pPr>
              <w:pStyle w:val="BodyText"/>
              <w:rPr>
                <w:lang w:val="en-NZ"/>
              </w:rPr>
            </w:pPr>
            <w:r w:rsidRPr="00902B98">
              <w:t>3</w:t>
            </w:r>
          </w:p>
        </w:tc>
        <w:tc>
          <w:tcPr>
            <w:tcW w:w="2357" w:type="dxa"/>
            <w:vMerge w:val="restart"/>
            <w:tcBorders>
              <w:top w:val="nil"/>
              <w:left w:val="nil"/>
              <w:bottom w:val="nil"/>
              <w:right w:val="nil"/>
            </w:tcBorders>
            <w:tcMar>
              <w:top w:w="0" w:type="dxa"/>
              <w:left w:w="62" w:type="dxa"/>
              <w:bottom w:w="0" w:type="dxa"/>
              <w:right w:w="62" w:type="dxa"/>
            </w:tcMar>
          </w:tcPr>
          <w:p w:rsidR="00000000" w:rsidP="00902B98">
            <w:pPr>
              <w:pStyle w:val="BodyText"/>
              <w:rPr>
                <w:lang w:val="en-NZ"/>
              </w:rPr>
            </w:pPr>
            <w:r w:rsidRPr="00902B98">
              <w:t>Recover and reclaim ODS and SGG materials.</w:t>
            </w:r>
          </w:p>
        </w:tc>
        <w:tc>
          <w:tcPr>
            <w:tcW w:w="804" w:type="dxa"/>
            <w:tcBorders>
              <w:top w:val="nil"/>
              <w:left w:val="nil"/>
              <w:bottom w:val="nil"/>
              <w:right w:val="nil"/>
            </w:tcBorders>
            <w:tcMar>
              <w:top w:w="0" w:type="dxa"/>
              <w:left w:w="62" w:type="dxa"/>
              <w:bottom w:w="0" w:type="dxa"/>
              <w:right w:w="62" w:type="dxa"/>
            </w:tcMar>
          </w:tcPr>
          <w:p w:rsidR="00000000" w:rsidP="00902B98">
            <w:pPr>
              <w:pStyle w:val="BodyText"/>
              <w:rPr>
                <w:lang w:val="en-NZ"/>
              </w:rPr>
            </w:pPr>
            <w:r w:rsidRPr="00902B98">
              <w:t>3.1</w:t>
            </w:r>
          </w:p>
        </w:tc>
        <w:tc>
          <w:tcPr>
            <w:tcW w:w="5659" w:type="dxa"/>
            <w:tcBorders>
              <w:top w:val="nil"/>
              <w:left w:val="nil"/>
              <w:bottom w:val="nil"/>
              <w:right w:val="nil"/>
            </w:tcBorders>
            <w:tcMar>
              <w:top w:w="0" w:type="dxa"/>
              <w:left w:w="62" w:type="dxa"/>
              <w:bottom w:w="0" w:type="dxa"/>
              <w:right w:w="62" w:type="dxa"/>
            </w:tcMar>
          </w:tcPr>
          <w:p w:rsidR="00000000" w:rsidP="00902B98">
            <w:pPr>
              <w:pStyle w:val="BodyText"/>
              <w:rPr>
                <w:lang w:val="en-NZ"/>
              </w:rPr>
            </w:pPr>
            <w:r w:rsidRPr="00902B98">
              <w:t>Identify types of ODS or SGG containers, valves, labels and transport caps, and select suitable method of recovery according to regulatory and workplace requirements.</w:t>
            </w:r>
          </w:p>
        </w:tc>
      </w:tr>
      <w:tr w:rsidTr="00902B9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02B98">
            <w:pPr>
              <w:pStyle w:val="BodyText"/>
              <w:rPr>
                <w:lang w:val="en-NZ"/>
              </w:rPr>
            </w:pPr>
            <w:r w:rsidRPr="00902B98">
              <w:t>3.2</w:t>
            </w:r>
          </w:p>
        </w:tc>
        <w:tc>
          <w:tcPr>
            <w:tcW w:w="5659" w:type="dxa"/>
            <w:tcBorders>
              <w:top w:val="nil"/>
              <w:left w:val="nil"/>
              <w:bottom w:val="nil"/>
              <w:right w:val="nil"/>
            </w:tcBorders>
            <w:tcMar>
              <w:top w:w="0" w:type="dxa"/>
              <w:left w:w="62" w:type="dxa"/>
              <w:bottom w:w="0" w:type="dxa"/>
              <w:right w:w="62" w:type="dxa"/>
            </w:tcMar>
          </w:tcPr>
          <w:p w:rsidR="00000000" w:rsidP="00902B98">
            <w:pPr>
              <w:pStyle w:val="BodyText"/>
              <w:rPr>
                <w:lang w:val="en-NZ"/>
              </w:rPr>
            </w:pPr>
            <w:r w:rsidRPr="00902B98">
              <w:t>Weigh containers and record mass be</w:t>
            </w:r>
            <w:r w:rsidRPr="00902B98">
              <w:t>fore processing.</w:t>
            </w:r>
          </w:p>
        </w:tc>
      </w:tr>
      <w:tr w:rsidTr="00902B9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02B98">
            <w:pPr>
              <w:pStyle w:val="BodyText"/>
              <w:rPr>
                <w:lang w:val="en-NZ"/>
              </w:rPr>
            </w:pPr>
            <w:r w:rsidRPr="00902B98">
              <w:t>3.3</w:t>
            </w:r>
          </w:p>
        </w:tc>
        <w:tc>
          <w:tcPr>
            <w:tcW w:w="5659" w:type="dxa"/>
            <w:tcBorders>
              <w:top w:val="nil"/>
              <w:left w:val="nil"/>
              <w:bottom w:val="nil"/>
              <w:right w:val="nil"/>
            </w:tcBorders>
            <w:tcMar>
              <w:top w:w="0" w:type="dxa"/>
              <w:left w:w="62" w:type="dxa"/>
              <w:bottom w:w="0" w:type="dxa"/>
              <w:right w:w="62" w:type="dxa"/>
            </w:tcMar>
          </w:tcPr>
          <w:p w:rsidR="00000000" w:rsidP="00902B98">
            <w:pPr>
              <w:pStyle w:val="BodyText"/>
              <w:rPr>
                <w:lang w:val="en-NZ"/>
              </w:rPr>
            </w:pPr>
            <w:r w:rsidRPr="00902B98">
              <w:t>Check and confirm container connections to processing equipment.</w:t>
            </w:r>
          </w:p>
        </w:tc>
      </w:tr>
      <w:tr w:rsidTr="00902B9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02B98">
            <w:pPr>
              <w:pStyle w:val="BodyText"/>
              <w:rPr>
                <w:lang w:val="en-NZ"/>
              </w:rPr>
            </w:pPr>
            <w:r w:rsidRPr="00902B98">
              <w:t>3.4</w:t>
            </w:r>
          </w:p>
        </w:tc>
        <w:tc>
          <w:tcPr>
            <w:tcW w:w="5659" w:type="dxa"/>
            <w:tcBorders>
              <w:top w:val="nil"/>
              <w:left w:val="nil"/>
              <w:bottom w:val="nil"/>
              <w:right w:val="nil"/>
            </w:tcBorders>
            <w:tcMar>
              <w:top w:w="0" w:type="dxa"/>
              <w:left w:w="62" w:type="dxa"/>
              <w:bottom w:w="0" w:type="dxa"/>
              <w:right w:w="62" w:type="dxa"/>
            </w:tcMar>
          </w:tcPr>
          <w:p w:rsidR="00000000" w:rsidP="00902B98">
            <w:pPr>
              <w:pStyle w:val="BodyText"/>
              <w:rPr>
                <w:lang w:val="en-NZ"/>
              </w:rPr>
            </w:pPr>
            <w:r w:rsidRPr="00902B98">
              <w:t>Operate and monitor processing equipment and complete recovery processing according to manufacturer and workplace requirements.</w:t>
            </w:r>
          </w:p>
        </w:tc>
      </w:tr>
      <w:tr w:rsidTr="00902B9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02B98">
            <w:pPr>
              <w:pStyle w:val="BodyText"/>
              <w:rPr>
                <w:lang w:val="en-NZ"/>
              </w:rPr>
            </w:pPr>
            <w:r w:rsidRPr="00902B98">
              <w:t>3.5</w:t>
            </w:r>
          </w:p>
        </w:tc>
        <w:tc>
          <w:tcPr>
            <w:tcW w:w="5659" w:type="dxa"/>
            <w:tcBorders>
              <w:top w:val="nil"/>
              <w:left w:val="nil"/>
              <w:bottom w:val="nil"/>
              <w:right w:val="nil"/>
            </w:tcBorders>
            <w:tcMar>
              <w:top w:w="0" w:type="dxa"/>
              <w:left w:w="62" w:type="dxa"/>
              <w:bottom w:w="0" w:type="dxa"/>
              <w:right w:w="62" w:type="dxa"/>
            </w:tcMar>
          </w:tcPr>
          <w:p w:rsidR="00000000" w:rsidP="00902B98">
            <w:pPr>
              <w:pStyle w:val="BodyText"/>
              <w:rPr>
                <w:lang w:val="en-NZ"/>
              </w:rPr>
            </w:pPr>
            <w:r w:rsidRPr="00902B98">
              <w:t>Perform quality control analysis of recovered material, confirm acceptable results and activate reclamation processing equipment according to manufacturer and workplace requirements.</w:t>
            </w:r>
          </w:p>
        </w:tc>
      </w:tr>
      <w:tr w:rsidTr="00902B9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02B98">
            <w:pPr>
              <w:pStyle w:val="BodyText"/>
              <w:rPr>
                <w:lang w:val="en-NZ"/>
              </w:rPr>
            </w:pPr>
            <w:r w:rsidRPr="00902B98">
              <w:t>3.6</w:t>
            </w:r>
          </w:p>
        </w:tc>
        <w:tc>
          <w:tcPr>
            <w:tcW w:w="5659" w:type="dxa"/>
            <w:tcBorders>
              <w:top w:val="nil"/>
              <w:left w:val="nil"/>
              <w:bottom w:val="nil"/>
              <w:right w:val="nil"/>
            </w:tcBorders>
            <w:tcMar>
              <w:top w:w="0" w:type="dxa"/>
              <w:left w:w="62" w:type="dxa"/>
              <w:bottom w:w="0" w:type="dxa"/>
              <w:right w:w="62" w:type="dxa"/>
            </w:tcMar>
          </w:tcPr>
          <w:p w:rsidR="00000000" w:rsidP="00902B98">
            <w:pPr>
              <w:pStyle w:val="BodyText"/>
              <w:rPr>
                <w:lang w:val="en-NZ"/>
              </w:rPr>
            </w:pPr>
            <w:r w:rsidRPr="00902B98">
              <w:t>Monitor equipment operation and complete reclamation processing ac</w:t>
            </w:r>
            <w:r w:rsidRPr="00902B98">
              <w:t>cording to manufacturer and workplace requirements.</w:t>
            </w:r>
          </w:p>
        </w:tc>
      </w:tr>
      <w:tr w:rsidTr="00902B9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02B98">
            <w:pPr>
              <w:pStyle w:val="BodyText"/>
              <w:rPr>
                <w:lang w:val="en-NZ"/>
              </w:rPr>
            </w:pPr>
            <w:r w:rsidRPr="00902B98">
              <w:t>3.7</w:t>
            </w:r>
          </w:p>
        </w:tc>
        <w:tc>
          <w:tcPr>
            <w:tcW w:w="5659" w:type="dxa"/>
            <w:tcBorders>
              <w:top w:val="nil"/>
              <w:left w:val="nil"/>
              <w:bottom w:val="nil"/>
              <w:right w:val="nil"/>
            </w:tcBorders>
            <w:tcMar>
              <w:top w:w="0" w:type="dxa"/>
              <w:left w:w="62" w:type="dxa"/>
              <w:bottom w:w="0" w:type="dxa"/>
              <w:right w:w="62" w:type="dxa"/>
            </w:tcMar>
          </w:tcPr>
          <w:p w:rsidR="00000000" w:rsidP="00902B98">
            <w:pPr>
              <w:pStyle w:val="BodyText"/>
              <w:rPr>
                <w:lang w:val="en-NZ"/>
              </w:rPr>
            </w:pPr>
            <w:r w:rsidRPr="00902B98">
              <w:t>Weigh containers and record mass after processing.</w:t>
            </w:r>
          </w:p>
        </w:tc>
      </w:tr>
      <w:tr w:rsidTr="00902B98">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902B98">
            <w:pPr>
              <w:pStyle w:val="BodyText"/>
              <w:rPr>
                <w:lang w:val="en-NZ"/>
              </w:rPr>
            </w:pPr>
          </w:p>
        </w:tc>
      </w:tr>
      <w:tr w:rsidTr="00902B98">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902B98">
            <w:pPr>
              <w:pStyle w:val="BodyText"/>
              <w:rPr>
                <w:lang w:val="en-NZ"/>
              </w:rPr>
            </w:pPr>
            <w:r w:rsidRPr="00902B98">
              <w:t>4</w:t>
            </w:r>
          </w:p>
        </w:tc>
        <w:tc>
          <w:tcPr>
            <w:tcW w:w="2357" w:type="dxa"/>
            <w:vMerge w:val="restart"/>
            <w:tcBorders>
              <w:top w:val="nil"/>
              <w:left w:val="nil"/>
              <w:bottom w:val="nil"/>
              <w:right w:val="nil"/>
            </w:tcBorders>
            <w:tcMar>
              <w:top w:w="0" w:type="dxa"/>
              <w:left w:w="62" w:type="dxa"/>
              <w:bottom w:w="0" w:type="dxa"/>
              <w:right w:w="62" w:type="dxa"/>
            </w:tcMar>
          </w:tcPr>
          <w:p w:rsidR="00000000" w:rsidP="00902B98">
            <w:pPr>
              <w:pStyle w:val="BodyText"/>
              <w:rPr>
                <w:lang w:val="en-NZ"/>
              </w:rPr>
            </w:pPr>
            <w:r w:rsidRPr="00902B98">
              <w:t>Prepare container and assemble valve.</w:t>
            </w:r>
          </w:p>
        </w:tc>
        <w:tc>
          <w:tcPr>
            <w:tcW w:w="804" w:type="dxa"/>
            <w:tcBorders>
              <w:top w:val="nil"/>
              <w:left w:val="nil"/>
              <w:bottom w:val="nil"/>
              <w:right w:val="nil"/>
            </w:tcBorders>
            <w:tcMar>
              <w:top w:w="0" w:type="dxa"/>
              <w:left w:w="62" w:type="dxa"/>
              <w:bottom w:w="0" w:type="dxa"/>
              <w:right w:w="62" w:type="dxa"/>
            </w:tcMar>
          </w:tcPr>
          <w:p w:rsidR="00000000" w:rsidP="00902B98">
            <w:pPr>
              <w:pStyle w:val="BodyText"/>
              <w:rPr>
                <w:lang w:val="en-NZ"/>
              </w:rPr>
            </w:pPr>
            <w:r w:rsidRPr="00902B98">
              <w:t>4.1</w:t>
            </w:r>
          </w:p>
        </w:tc>
        <w:tc>
          <w:tcPr>
            <w:tcW w:w="5659" w:type="dxa"/>
            <w:tcBorders>
              <w:top w:val="nil"/>
              <w:left w:val="nil"/>
              <w:bottom w:val="nil"/>
              <w:right w:val="nil"/>
            </w:tcBorders>
            <w:tcMar>
              <w:top w:w="0" w:type="dxa"/>
              <w:left w:w="62" w:type="dxa"/>
              <w:bottom w:w="0" w:type="dxa"/>
              <w:right w:w="62" w:type="dxa"/>
            </w:tcMar>
          </w:tcPr>
          <w:p w:rsidR="00000000" w:rsidP="00902B98">
            <w:pPr>
              <w:pStyle w:val="BodyText"/>
              <w:rPr>
                <w:lang w:val="en-NZ"/>
              </w:rPr>
            </w:pPr>
            <w:r w:rsidRPr="00902B98">
              <w:t>Select and gather containers and valve components to suit ODS or SGG extinguishing agent.</w:t>
            </w:r>
          </w:p>
        </w:tc>
      </w:tr>
      <w:tr w:rsidTr="00902B9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02B98">
            <w:pPr>
              <w:pStyle w:val="BodyText"/>
              <w:rPr>
                <w:lang w:val="en-NZ"/>
              </w:rPr>
            </w:pPr>
            <w:r w:rsidRPr="00902B98">
              <w:t>4.2</w:t>
            </w:r>
          </w:p>
        </w:tc>
        <w:tc>
          <w:tcPr>
            <w:tcW w:w="5659" w:type="dxa"/>
            <w:tcBorders>
              <w:top w:val="nil"/>
              <w:left w:val="nil"/>
              <w:bottom w:val="nil"/>
              <w:right w:val="nil"/>
            </w:tcBorders>
            <w:tcMar>
              <w:top w:w="0" w:type="dxa"/>
              <w:left w:w="62" w:type="dxa"/>
              <w:bottom w:w="0" w:type="dxa"/>
              <w:right w:w="62" w:type="dxa"/>
            </w:tcMar>
          </w:tcPr>
          <w:p w:rsidR="00000000" w:rsidP="00902B98">
            <w:pPr>
              <w:pStyle w:val="BodyText"/>
              <w:rPr>
                <w:lang w:val="en-NZ"/>
              </w:rPr>
            </w:pPr>
            <w:r w:rsidRPr="00902B98">
              <w:t>Assemble valve components and connect assembled valve to container.</w:t>
            </w:r>
          </w:p>
        </w:tc>
      </w:tr>
      <w:tr w:rsidTr="00902B9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02B98">
            <w:pPr>
              <w:pStyle w:val="BodyText"/>
              <w:rPr>
                <w:lang w:val="en-NZ"/>
              </w:rPr>
            </w:pPr>
            <w:r w:rsidRPr="00902B98">
              <w:t>4.3</w:t>
            </w:r>
          </w:p>
        </w:tc>
        <w:tc>
          <w:tcPr>
            <w:tcW w:w="5659" w:type="dxa"/>
            <w:tcBorders>
              <w:top w:val="nil"/>
              <w:left w:val="nil"/>
              <w:bottom w:val="nil"/>
              <w:right w:val="nil"/>
            </w:tcBorders>
            <w:tcMar>
              <w:top w:w="0" w:type="dxa"/>
              <w:left w:w="62" w:type="dxa"/>
              <w:bottom w:w="0" w:type="dxa"/>
              <w:right w:w="62" w:type="dxa"/>
            </w:tcMar>
          </w:tcPr>
          <w:p w:rsidR="00000000" w:rsidP="00902B98">
            <w:pPr>
              <w:pStyle w:val="BodyText"/>
              <w:rPr>
                <w:lang w:val="en-NZ"/>
              </w:rPr>
            </w:pPr>
            <w:r w:rsidRPr="00902B98">
              <w:t>Check containers and labels for fill processing to confirm accuracy.</w:t>
            </w:r>
          </w:p>
        </w:tc>
      </w:tr>
      <w:tr w:rsidTr="00902B98">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902B98">
            <w:pPr>
              <w:pStyle w:val="BodyText"/>
              <w:rPr>
                <w:lang w:val="en-NZ"/>
              </w:rPr>
            </w:pPr>
          </w:p>
        </w:tc>
      </w:tr>
      <w:tr w:rsidTr="00902B98">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902B98">
            <w:pPr>
              <w:pStyle w:val="BodyText"/>
              <w:rPr>
                <w:lang w:val="en-NZ"/>
              </w:rPr>
            </w:pPr>
            <w:r w:rsidRPr="00902B98">
              <w:t>5</w:t>
            </w:r>
          </w:p>
        </w:tc>
        <w:tc>
          <w:tcPr>
            <w:tcW w:w="2357" w:type="dxa"/>
            <w:vMerge w:val="restart"/>
            <w:tcBorders>
              <w:top w:val="nil"/>
              <w:left w:val="nil"/>
              <w:bottom w:val="nil"/>
              <w:right w:val="nil"/>
            </w:tcBorders>
            <w:tcMar>
              <w:top w:w="0" w:type="dxa"/>
              <w:left w:w="62" w:type="dxa"/>
              <w:bottom w:w="0" w:type="dxa"/>
              <w:right w:w="62" w:type="dxa"/>
            </w:tcMar>
          </w:tcPr>
          <w:p w:rsidR="00000000" w:rsidP="00902B98">
            <w:pPr>
              <w:pStyle w:val="BodyText"/>
              <w:rPr>
                <w:lang w:val="en-NZ"/>
              </w:rPr>
            </w:pPr>
            <w:r w:rsidRPr="00902B98">
              <w:t>Fill container and complete documentation.</w:t>
            </w:r>
          </w:p>
        </w:tc>
        <w:tc>
          <w:tcPr>
            <w:tcW w:w="804" w:type="dxa"/>
            <w:tcBorders>
              <w:top w:val="nil"/>
              <w:left w:val="nil"/>
              <w:bottom w:val="nil"/>
              <w:right w:val="nil"/>
            </w:tcBorders>
            <w:tcMar>
              <w:top w:w="0" w:type="dxa"/>
              <w:left w:w="62" w:type="dxa"/>
              <w:bottom w:w="0" w:type="dxa"/>
              <w:right w:w="62" w:type="dxa"/>
            </w:tcMar>
          </w:tcPr>
          <w:p w:rsidR="00000000" w:rsidP="00902B98">
            <w:pPr>
              <w:pStyle w:val="BodyText"/>
              <w:rPr>
                <w:lang w:val="en-NZ"/>
              </w:rPr>
            </w:pPr>
            <w:r w:rsidRPr="00902B98">
              <w:t>5.1</w:t>
            </w:r>
          </w:p>
        </w:tc>
        <w:tc>
          <w:tcPr>
            <w:tcW w:w="5659" w:type="dxa"/>
            <w:tcBorders>
              <w:top w:val="nil"/>
              <w:left w:val="nil"/>
              <w:bottom w:val="nil"/>
              <w:right w:val="nil"/>
            </w:tcBorders>
            <w:tcMar>
              <w:top w:w="0" w:type="dxa"/>
              <w:left w:w="62" w:type="dxa"/>
              <w:bottom w:w="0" w:type="dxa"/>
              <w:right w:w="62" w:type="dxa"/>
            </w:tcMar>
          </w:tcPr>
          <w:p w:rsidR="00000000" w:rsidP="00902B98">
            <w:pPr>
              <w:pStyle w:val="BodyText"/>
              <w:rPr>
                <w:lang w:val="en-NZ"/>
              </w:rPr>
            </w:pPr>
            <w:r w:rsidRPr="00902B98">
              <w:t>Check and confirm container connection to processing equipment according to manufacturer requirements.</w:t>
            </w:r>
          </w:p>
        </w:tc>
      </w:tr>
      <w:tr w:rsidTr="00902B9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02B98">
            <w:pPr>
              <w:pStyle w:val="BodyText"/>
              <w:rPr>
                <w:lang w:val="en-NZ"/>
              </w:rPr>
            </w:pPr>
            <w:r w:rsidRPr="00902B98">
              <w:t>5.2</w:t>
            </w:r>
          </w:p>
        </w:tc>
        <w:tc>
          <w:tcPr>
            <w:tcW w:w="5659" w:type="dxa"/>
            <w:tcBorders>
              <w:top w:val="nil"/>
              <w:left w:val="nil"/>
              <w:bottom w:val="nil"/>
              <w:right w:val="nil"/>
            </w:tcBorders>
            <w:tcMar>
              <w:top w:w="0" w:type="dxa"/>
              <w:left w:w="62" w:type="dxa"/>
              <w:bottom w:w="0" w:type="dxa"/>
              <w:right w:w="62" w:type="dxa"/>
            </w:tcMar>
          </w:tcPr>
          <w:p w:rsidR="00000000" w:rsidP="00902B98">
            <w:pPr>
              <w:pStyle w:val="BodyText"/>
              <w:rPr>
                <w:lang w:val="en-NZ"/>
              </w:rPr>
            </w:pPr>
            <w:r w:rsidRPr="00902B98">
              <w:t>Operate and monitor processing equipment and complete fill process according to manufacturer and workplace requirements.</w:t>
            </w:r>
          </w:p>
        </w:tc>
      </w:tr>
      <w:tr w:rsidTr="00902B9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02B98">
            <w:pPr>
              <w:pStyle w:val="BodyText"/>
              <w:rPr>
                <w:lang w:val="en-NZ"/>
              </w:rPr>
            </w:pPr>
            <w:r w:rsidRPr="00902B98">
              <w:t>5.3</w:t>
            </w:r>
          </w:p>
        </w:tc>
        <w:tc>
          <w:tcPr>
            <w:tcW w:w="5659" w:type="dxa"/>
            <w:tcBorders>
              <w:top w:val="nil"/>
              <w:left w:val="nil"/>
              <w:bottom w:val="nil"/>
              <w:right w:val="nil"/>
            </w:tcBorders>
            <w:tcMar>
              <w:top w:w="0" w:type="dxa"/>
              <w:left w:w="62" w:type="dxa"/>
              <w:bottom w:w="0" w:type="dxa"/>
              <w:right w:w="62" w:type="dxa"/>
            </w:tcMar>
          </w:tcPr>
          <w:p w:rsidR="00000000" w:rsidP="00902B98">
            <w:pPr>
              <w:pStyle w:val="BodyText"/>
              <w:rPr>
                <w:lang w:val="en-NZ"/>
              </w:rPr>
            </w:pPr>
            <w:r w:rsidRPr="00902B98">
              <w:t>Weigh container to verify fill processing and record container mass.</w:t>
            </w:r>
          </w:p>
        </w:tc>
      </w:tr>
      <w:tr w:rsidTr="00902B9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02B98">
            <w:pPr>
              <w:pStyle w:val="BodyText"/>
              <w:rPr>
                <w:lang w:val="en-NZ"/>
              </w:rPr>
            </w:pPr>
            <w:r w:rsidRPr="00902B98">
              <w:t>5.4</w:t>
            </w:r>
          </w:p>
        </w:tc>
        <w:tc>
          <w:tcPr>
            <w:tcW w:w="5659" w:type="dxa"/>
            <w:tcBorders>
              <w:top w:val="nil"/>
              <w:left w:val="nil"/>
              <w:bottom w:val="nil"/>
              <w:right w:val="nil"/>
            </w:tcBorders>
            <w:tcMar>
              <w:top w:w="0" w:type="dxa"/>
              <w:left w:w="62" w:type="dxa"/>
              <w:bottom w:w="0" w:type="dxa"/>
              <w:right w:w="62" w:type="dxa"/>
            </w:tcMar>
          </w:tcPr>
          <w:p w:rsidR="00000000" w:rsidP="00902B98">
            <w:pPr>
              <w:pStyle w:val="BodyText"/>
              <w:rPr>
                <w:lang w:val="en-NZ"/>
              </w:rPr>
            </w:pPr>
            <w:r w:rsidRPr="00902B98">
              <w:t>Pressurise system container to standard for type of agent and container.</w:t>
            </w:r>
          </w:p>
        </w:tc>
      </w:tr>
      <w:tr w:rsidTr="00902B9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02B98">
            <w:pPr>
              <w:pStyle w:val="BodyText"/>
              <w:rPr>
                <w:lang w:val="en-NZ"/>
              </w:rPr>
            </w:pPr>
            <w:r w:rsidRPr="00902B98">
              <w:t>5.5</w:t>
            </w:r>
          </w:p>
        </w:tc>
        <w:tc>
          <w:tcPr>
            <w:tcW w:w="5659" w:type="dxa"/>
            <w:tcBorders>
              <w:top w:val="nil"/>
              <w:left w:val="nil"/>
              <w:bottom w:val="nil"/>
              <w:right w:val="nil"/>
            </w:tcBorders>
            <w:tcMar>
              <w:top w:w="0" w:type="dxa"/>
              <w:left w:w="62" w:type="dxa"/>
              <w:bottom w:w="0" w:type="dxa"/>
              <w:right w:w="62" w:type="dxa"/>
            </w:tcMar>
          </w:tcPr>
          <w:p w:rsidR="00000000" w:rsidP="00902B98">
            <w:pPr>
              <w:pStyle w:val="BodyText"/>
              <w:rPr>
                <w:lang w:val="en-NZ"/>
              </w:rPr>
            </w:pPr>
            <w:r w:rsidRPr="00902B98">
              <w:t>Evacuate transfer equipment lines.</w:t>
            </w:r>
          </w:p>
        </w:tc>
      </w:tr>
      <w:tr w:rsidTr="00902B9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02B98">
            <w:pPr>
              <w:pStyle w:val="BodyText"/>
              <w:rPr>
                <w:lang w:val="en-NZ"/>
              </w:rPr>
            </w:pPr>
            <w:r w:rsidRPr="00902B98">
              <w:t>5.6</w:t>
            </w:r>
          </w:p>
        </w:tc>
        <w:tc>
          <w:tcPr>
            <w:tcW w:w="5659" w:type="dxa"/>
            <w:tcBorders>
              <w:top w:val="nil"/>
              <w:left w:val="nil"/>
              <w:bottom w:val="nil"/>
              <w:right w:val="nil"/>
            </w:tcBorders>
            <w:tcMar>
              <w:top w:w="0" w:type="dxa"/>
              <w:left w:w="62" w:type="dxa"/>
              <w:bottom w:w="0" w:type="dxa"/>
              <w:right w:w="62" w:type="dxa"/>
            </w:tcMar>
          </w:tcPr>
          <w:p w:rsidR="00000000" w:rsidP="00902B98">
            <w:pPr>
              <w:pStyle w:val="BodyText"/>
              <w:rPr>
                <w:lang w:val="en-NZ"/>
              </w:rPr>
            </w:pPr>
            <w:r w:rsidRPr="00902B98">
              <w:t>Remove container from processing equipment, test for leaks</w:t>
            </w:r>
            <w:r w:rsidRPr="00902B98">
              <w:t xml:space="preserve"> and rectify or report defects according to regulatory and workplace requirements.</w:t>
            </w:r>
          </w:p>
        </w:tc>
      </w:tr>
      <w:tr w:rsidTr="00902B9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02B98">
            <w:pPr>
              <w:pStyle w:val="BodyText"/>
              <w:rPr>
                <w:lang w:val="en-NZ"/>
              </w:rPr>
            </w:pPr>
            <w:r w:rsidRPr="00902B98">
              <w:t>5.7</w:t>
            </w:r>
          </w:p>
        </w:tc>
        <w:tc>
          <w:tcPr>
            <w:tcW w:w="5659" w:type="dxa"/>
            <w:tcBorders>
              <w:top w:val="nil"/>
              <w:left w:val="nil"/>
              <w:bottom w:val="nil"/>
              <w:right w:val="nil"/>
            </w:tcBorders>
            <w:tcMar>
              <w:top w:w="0" w:type="dxa"/>
              <w:left w:w="62" w:type="dxa"/>
              <w:bottom w:w="0" w:type="dxa"/>
              <w:right w:w="62" w:type="dxa"/>
            </w:tcMar>
          </w:tcPr>
          <w:p w:rsidR="00000000" w:rsidP="00902B98">
            <w:pPr>
              <w:pStyle w:val="BodyText"/>
              <w:rPr>
                <w:lang w:val="en-NZ"/>
              </w:rPr>
            </w:pPr>
            <w:r w:rsidRPr="00902B98">
              <w:t>Prepare container for service and pack filled container according to regulatory and workplace requirements.</w:t>
            </w:r>
          </w:p>
        </w:tc>
      </w:tr>
      <w:tr w:rsidTr="00902B9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02B98">
            <w:pPr>
              <w:pStyle w:val="BodyText"/>
              <w:rPr>
                <w:lang w:val="en-NZ"/>
              </w:rPr>
            </w:pPr>
            <w:r w:rsidRPr="00902B98">
              <w:t>5.8</w:t>
            </w:r>
          </w:p>
        </w:tc>
        <w:tc>
          <w:tcPr>
            <w:tcW w:w="5659" w:type="dxa"/>
            <w:tcBorders>
              <w:top w:val="nil"/>
              <w:left w:val="nil"/>
              <w:bottom w:val="nil"/>
              <w:right w:val="nil"/>
            </w:tcBorders>
            <w:tcMar>
              <w:top w:w="0" w:type="dxa"/>
              <w:left w:w="62" w:type="dxa"/>
              <w:bottom w:w="0" w:type="dxa"/>
              <w:right w:w="62" w:type="dxa"/>
            </w:tcMar>
          </w:tcPr>
          <w:p w:rsidR="00000000" w:rsidRPr="00902B98" w:rsidP="00902B98">
            <w:pPr>
              <w:pStyle w:val="BodyText"/>
            </w:pPr>
            <w:r w:rsidRPr="00902B98">
              <w:t>Complete service documentation detailing recovery, reclaim and fill results according to regulatory and workplace requirements.</w:t>
            </w:r>
          </w:p>
        </w:tc>
      </w:tr>
    </w:tbl>
    <w:p w:rsidR="00000000" w:rsidRPr="00902B98" w:rsidP="00902B98">
      <w:pPr>
        <w:pStyle w:val="BodyText"/>
      </w:pPr>
    </w:p>
    <w:p w:rsidR="00000000" w:rsidRPr="00902B98" w:rsidP="00902B98">
      <w:pPr>
        <w:pStyle w:val="AllowPageBreak"/>
      </w:pPr>
    </w:p>
    <w:p w:rsidR="00000000" w:rsidRPr="00902B98" w:rsidP="00902B98">
      <w:pPr>
        <w:pStyle w:val="Heading1"/>
      </w:pPr>
      <w:bookmarkStart w:id="6" w:name="O_1163644"/>
      <w:bookmarkEnd w:id="6"/>
      <w:r w:rsidRPr="00902B98">
        <w:t>Foundation Skills</w:t>
      </w:r>
    </w:p>
    <w:p w:rsidR="00000000" w:rsidRPr="00902B98" w:rsidP="00BF329E">
      <w:pPr>
        <w:pStyle w:val="BodyText"/>
      </w:pPr>
      <w:r w:rsidRPr="00902B98">
        <w:t>Foundation skills essential to performance are explicit in the performance criteria of th</w:t>
      </w:r>
      <w:r w:rsidRPr="00902B98">
        <w:t>is unit of competency.</w:t>
      </w:r>
    </w:p>
    <w:p w:rsidR="00000000" w:rsidRPr="00902B98" w:rsidP="00902B98">
      <w:pPr>
        <w:pStyle w:val="Heading1"/>
      </w:pPr>
      <w:bookmarkStart w:id="7" w:name="O_1163643"/>
      <w:bookmarkEnd w:id="7"/>
      <w:r w:rsidRPr="00902B98">
        <w:t>Unit Mapping Information</w:t>
      </w:r>
    </w:p>
    <w:p w:rsidR="00000000" w:rsidRPr="00902B98" w:rsidP="00BF329E">
      <w:pPr>
        <w:pStyle w:val="BodyText"/>
      </w:pPr>
      <w:r w:rsidRPr="00902B98">
        <w:t>Supersedes and is equivalent to CPPFES2049A Conduct recovery, reclaim and fill operations for scheduled gaseous fire-extinguishing agents.</w:t>
      </w:r>
    </w:p>
    <w:p w:rsidR="00000000" w:rsidRPr="00902B98" w:rsidP="00902B98">
      <w:pPr>
        <w:pStyle w:val="Heading1"/>
      </w:pPr>
      <w:bookmarkStart w:id="8" w:name="O_1163636"/>
      <w:bookmarkEnd w:id="8"/>
      <w:r w:rsidRPr="00902B98">
        <w:t>Links</w:t>
      </w:r>
    </w:p>
    <w:p w:rsidR="00000000" w:rsidRPr="00902B98" w:rsidP="00BF329E">
      <w:pPr>
        <w:pStyle w:val="BodyText"/>
      </w:pPr>
      <w:r w:rsidRPr="00902B98">
        <w:t>Companion volumes to this</w:t>
      </w:r>
      <w:r w:rsidRPr="00902B98">
        <w:t xml:space="preserve"> training package are available at the VETNet website - </w:t>
      </w:r>
      <w:r>
        <w:fldChar w:fldCharType="begin"/>
      </w:r>
      <w:r>
        <w:instrText xml:space="preserve"> HYPERLINK "https://vetnet.gov.au/Pages/TrainingDocs.aspx?q=6f3f9672-30e8-4835-b348-205dfcf13d9b" </w:instrText>
      </w:r>
      <w:r>
        <w:fldChar w:fldCharType="separate"/>
      </w:r>
      <w:r w:rsidRPr="00755A75">
        <w:rPr>
          <w:rStyle w:val="Hyperlink"/>
        </w:rPr>
        <w:t>https://vetnet.gov.au/Pages/TrainingDocs.aspx?q=6f3f9672-30e8-4835-b348-205dfcf13d9b</w:t>
      </w:r>
      <w:r>
        <w:fldChar w:fldCharType="end"/>
      </w:r>
    </w:p>
    <w:p w:rsidR="00000000" w:rsidRPr="00902B98" w:rsidP="00902B98"/>
    <w:sectPr w:rsidSect="00902B9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2B9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2B98" w:rsidRPr="00BF329E" w:rsidP="00BF329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2B9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329E" w:rsidP="00902B9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F329E" w:rsidP="00902B98">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Artibus Innovation</w:t>
    </w:r>
    <w:r>
      <w:fldChar w:fldCharType="end"/>
    </w:r>
  </w:p>
  <w:p w:rsidR="00BF329E" w:rsidP="00902B9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2B9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329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02B98" w:rsidRPr="00BF329E" w:rsidP="00BF329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2B9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329E" w:rsidRPr="002D2AF8" w:rsidP="00902B98">
    <w:pPr>
      <w:pStyle w:val="Header"/>
      <w:framePr w:wrap="around"/>
    </w:pPr>
    <w:r>
      <w:fldChar w:fldCharType="begin"/>
    </w:r>
    <w:r>
      <w:instrText xml:space="preserve"> TITLE   \* MERGEFORMAT </w:instrText>
    </w:r>
    <w:r>
      <w:fldChar w:fldCharType="separate"/>
    </w:r>
    <w:r>
      <w:t>CPPFES2049 Conduct recovery, reclaim and fill operations for scheduled gaseous fire-extinguishing agents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2022</w:t>
    </w:r>
    <w:r>
      <w:fldChar w:fldCharType="end"/>
    </w:r>
  </w:p>
  <w:p w:rsidR="00BF329E" w:rsidP="00902B9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2B9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02B98"/>
    <w:pPr>
      <w:spacing w:before="360" w:after="60"/>
      <w:outlineLvl w:val="0"/>
    </w:pPr>
    <w:rPr>
      <w:sz w:val="32"/>
    </w:rPr>
  </w:style>
  <w:style w:type="paragraph" w:styleId="Heading2">
    <w:name w:val="heading 2"/>
    <w:basedOn w:val="HeadingBase"/>
    <w:next w:val="BodyText"/>
    <w:link w:val="Heading2Char"/>
    <w:qFormat/>
    <w:rsid w:val="00902B98"/>
    <w:pPr>
      <w:keepLines/>
      <w:spacing w:before="240" w:after="120"/>
      <w:outlineLvl w:val="1"/>
    </w:pPr>
    <w:rPr>
      <w:sz w:val="28"/>
      <w:szCs w:val="40"/>
    </w:rPr>
  </w:style>
  <w:style w:type="paragraph" w:styleId="Heading3">
    <w:name w:val="heading 3"/>
    <w:basedOn w:val="HeadingBase"/>
    <w:next w:val="BodyText"/>
    <w:link w:val="Heading3Char"/>
    <w:qFormat/>
    <w:rsid w:val="00902B98"/>
    <w:pPr>
      <w:spacing w:before="180" w:after="120"/>
      <w:outlineLvl w:val="2"/>
    </w:pPr>
    <w:rPr>
      <w:spacing w:val="-10"/>
      <w:kern w:val="32"/>
    </w:rPr>
  </w:style>
  <w:style w:type="paragraph" w:styleId="Heading4">
    <w:name w:val="heading 4"/>
    <w:basedOn w:val="HeadingBase"/>
    <w:next w:val="BodyText"/>
    <w:link w:val="Heading4Char"/>
    <w:qFormat/>
    <w:rsid w:val="00902B98"/>
    <w:pPr>
      <w:spacing w:before="160" w:after="120"/>
      <w:outlineLvl w:val="3"/>
    </w:pPr>
    <w:rPr>
      <w:sz w:val="22"/>
    </w:rPr>
  </w:style>
  <w:style w:type="paragraph" w:styleId="Heading5">
    <w:name w:val="heading 5"/>
    <w:basedOn w:val="HeadingBase"/>
    <w:next w:val="Normal"/>
    <w:link w:val="Heading5Char"/>
    <w:qFormat/>
    <w:rsid w:val="00902B98"/>
    <w:pPr>
      <w:spacing w:before="80"/>
      <w:outlineLvl w:val="4"/>
    </w:pPr>
    <w:rPr>
      <w:color w:val="918585"/>
      <w:sz w:val="20"/>
    </w:rPr>
  </w:style>
  <w:style w:type="paragraph" w:styleId="Heading6">
    <w:name w:val="heading 6"/>
    <w:basedOn w:val="HeadingBase"/>
    <w:next w:val="Normal"/>
    <w:link w:val="Heading6Char"/>
    <w:qFormat/>
    <w:rsid w:val="00902B98"/>
    <w:pPr>
      <w:spacing w:before="60"/>
      <w:outlineLvl w:val="5"/>
    </w:pPr>
    <w:rPr>
      <w:color w:val="918585"/>
      <w:sz w:val="20"/>
    </w:rPr>
  </w:style>
  <w:style w:type="paragraph" w:styleId="Heading7">
    <w:name w:val="heading 7"/>
    <w:basedOn w:val="Normal"/>
    <w:next w:val="Normal"/>
    <w:link w:val="Heading7Char"/>
    <w:qFormat/>
    <w:rsid w:val="00902B98"/>
    <w:pPr>
      <w:ind w:left="720"/>
      <w:outlineLvl w:val="6"/>
    </w:pPr>
    <w:rPr>
      <w:i/>
    </w:rPr>
  </w:style>
  <w:style w:type="paragraph" w:styleId="Heading8">
    <w:name w:val="heading 8"/>
    <w:basedOn w:val="Normal"/>
    <w:next w:val="Normal"/>
    <w:link w:val="Heading8Char"/>
    <w:qFormat/>
    <w:rsid w:val="00902B98"/>
    <w:pPr>
      <w:ind w:left="720"/>
      <w:outlineLvl w:val="7"/>
    </w:pPr>
    <w:rPr>
      <w:i/>
    </w:rPr>
  </w:style>
  <w:style w:type="paragraph" w:styleId="Heading9">
    <w:name w:val="heading 9"/>
    <w:basedOn w:val="Normal"/>
    <w:next w:val="Normal"/>
    <w:link w:val="Heading9Char"/>
    <w:qFormat/>
    <w:rsid w:val="00902B98"/>
    <w:pPr>
      <w:ind w:left="720"/>
      <w:outlineLvl w:val="8"/>
    </w:pPr>
    <w:rPr>
      <w:i/>
    </w:rPr>
  </w:style>
  <w:style w:type="character" w:default="1" w:styleId="DefaultParagraphFont">
    <w:name w:val="Default Paragraph Font"/>
    <w:uiPriority w:val="1"/>
    <w:unhideWhenUsed/>
    <w:rsid w:val="00902B9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02B98"/>
  </w:style>
  <w:style w:type="character" w:customStyle="1" w:styleId="Heading1Char">
    <w:name w:val="Heading 1 Char"/>
    <w:basedOn w:val="DefaultParagraphFont"/>
    <w:link w:val="Heading1"/>
    <w:rsid w:val="00902B98"/>
    <w:rPr>
      <w:rFonts w:ascii="Times New Roman" w:eastAsia="Times New Roman" w:hAnsi="Times New Roman" w:cs="Times New Roman"/>
      <w:b/>
      <w:sz w:val="32"/>
      <w:szCs w:val="20"/>
      <w:lang w:eastAsia="en-US"/>
    </w:rPr>
  </w:style>
  <w:style w:type="paragraph" w:styleId="BodyText">
    <w:name w:val="Body Text"/>
    <w:basedOn w:val="Normal"/>
    <w:link w:val="BodyTextChar"/>
    <w:rsid w:val="00902B9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02B98"/>
    <w:rPr>
      <w:rFonts w:ascii="Times New Roman" w:eastAsia="Times New Roman" w:hAnsi="Times New Roman" w:cs="Times New Roman"/>
      <w:sz w:val="24"/>
      <w:lang w:eastAsia="en-US"/>
    </w:rPr>
  </w:style>
  <w:style w:type="paragraph" w:customStyle="1" w:styleId="SuperHeading">
    <w:name w:val="SuperHeading"/>
    <w:basedOn w:val="Normal"/>
    <w:rsid w:val="00902B98"/>
    <w:pPr>
      <w:spacing w:before="240" w:after="120"/>
      <w:outlineLvl w:val="0"/>
    </w:pPr>
    <w:rPr>
      <w:rFonts w:ascii="Times New Roman" w:hAnsi="Times New Roman"/>
      <w:b/>
      <w:sz w:val="32"/>
    </w:rPr>
  </w:style>
  <w:style w:type="paragraph" w:customStyle="1" w:styleId="AllowPageBreak">
    <w:name w:val="AllowPageBreak"/>
    <w:rsid w:val="00902B9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02B9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02B9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02B9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02B9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02B9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02B9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02B9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02B98"/>
    <w:rPr>
      <w:rFonts w:ascii="Courier New" w:eastAsia="Times New Roman" w:hAnsi="Courier New" w:cs="Times New Roman"/>
      <w:i/>
      <w:szCs w:val="20"/>
      <w:lang w:eastAsia="en-US"/>
    </w:rPr>
  </w:style>
  <w:style w:type="paragraph" w:customStyle="1" w:styleId="HeadingBase">
    <w:name w:val="Heading Base"/>
    <w:rsid w:val="00902B9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02B98"/>
    <w:pPr>
      <w:tabs>
        <w:tab w:val="right" w:leader="dot" w:pos="9072"/>
      </w:tabs>
      <w:ind w:left="567"/>
    </w:pPr>
    <w:rPr>
      <w:szCs w:val="22"/>
    </w:rPr>
  </w:style>
  <w:style w:type="paragraph" w:customStyle="1" w:styleId="TOCBase">
    <w:name w:val="TOC Base"/>
    <w:rsid w:val="00902B9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02B98"/>
    <w:pPr>
      <w:tabs>
        <w:tab w:val="right" w:leader="dot" w:pos="9072"/>
      </w:tabs>
      <w:spacing w:before="40" w:after="40"/>
      <w:ind w:left="284"/>
    </w:pPr>
    <w:rPr>
      <w:rFonts w:ascii="Times New Roman" w:hAnsi="Times New Roman"/>
    </w:rPr>
  </w:style>
  <w:style w:type="paragraph" w:styleId="TOC1">
    <w:name w:val="toc 1"/>
    <w:basedOn w:val="TOCBase"/>
    <w:next w:val="Normal"/>
    <w:rsid w:val="00902B9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02B9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02B98"/>
    <w:rPr>
      <w:rFonts w:ascii="Times New Roman" w:eastAsia="Times New Roman" w:hAnsi="Times New Roman" w:cs="Times New Roman"/>
      <w:sz w:val="16"/>
      <w:lang w:eastAsia="en-US"/>
    </w:rPr>
  </w:style>
  <w:style w:type="paragraph" w:styleId="Title">
    <w:name w:val="Title"/>
    <w:basedOn w:val="HeadingBase"/>
    <w:link w:val="TitleChar"/>
    <w:qFormat/>
    <w:rsid w:val="00902B98"/>
    <w:pPr>
      <w:spacing w:before="5040"/>
      <w:jc w:val="center"/>
    </w:pPr>
    <w:rPr>
      <w:sz w:val="48"/>
      <w:szCs w:val="72"/>
      <w:lang w:val="en-US"/>
    </w:rPr>
  </w:style>
  <w:style w:type="character" w:customStyle="1" w:styleId="TitleChar">
    <w:name w:val="Title Char"/>
    <w:basedOn w:val="DefaultParagraphFont"/>
    <w:link w:val="Title"/>
    <w:rsid w:val="00902B9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02B98"/>
    <w:pPr>
      <w:tabs>
        <w:tab w:val="left" w:pos="3600"/>
        <w:tab w:val="left" w:pos="3958"/>
      </w:tabs>
    </w:pPr>
  </w:style>
  <w:style w:type="paragraph" w:styleId="List">
    <w:name w:val="List"/>
    <w:basedOn w:val="BodyText"/>
    <w:next w:val="BodyText"/>
    <w:rsid w:val="00902B98"/>
    <w:pPr>
      <w:tabs>
        <w:tab w:val="left" w:pos="340"/>
      </w:tabs>
      <w:spacing w:before="60" w:after="60"/>
      <w:ind w:left="340" w:hanging="340"/>
    </w:pPr>
  </w:style>
  <w:style w:type="paragraph" w:styleId="ListBullet">
    <w:name w:val="List Bullet"/>
    <w:basedOn w:val="List"/>
    <w:rsid w:val="00902B98"/>
    <w:pPr>
      <w:numPr>
        <w:numId w:val="10"/>
      </w:numPr>
      <w:tabs>
        <w:tab w:val="clear" w:pos="340"/>
      </w:tabs>
      <w:spacing w:before="40" w:after="40"/>
    </w:pPr>
  </w:style>
  <w:style w:type="paragraph" w:customStyle="1" w:styleId="Note">
    <w:name w:val="Note"/>
    <w:basedOn w:val="BodyText"/>
    <w:rsid w:val="00902B9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02B98"/>
    <w:rPr>
      <w:b/>
      <w:spacing w:val="0"/>
    </w:rPr>
  </w:style>
  <w:style w:type="paragraph" w:customStyle="1" w:styleId="SuperTitle">
    <w:name w:val="SuperTitle"/>
    <w:basedOn w:val="Title"/>
    <w:rsid w:val="00902B98"/>
    <w:pPr>
      <w:framePr w:wrap="auto" w:hAnchor="text" w:y="6049"/>
    </w:pPr>
    <w:rPr>
      <w:color w:val="000000"/>
      <w:sz w:val="40"/>
    </w:rPr>
  </w:style>
  <w:style w:type="paragraph" w:customStyle="1" w:styleId="TOCTitle">
    <w:name w:val="TOCTitle"/>
    <w:basedOn w:val="Heading1"/>
    <w:rsid w:val="00902B98"/>
    <w:pPr>
      <w:spacing w:after="240"/>
      <w:jc w:val="center"/>
      <w:outlineLvl w:val="9"/>
    </w:pPr>
    <w:rPr>
      <w:caps/>
    </w:rPr>
  </w:style>
  <w:style w:type="paragraph" w:customStyle="1" w:styleId="Version">
    <w:name w:val="Version"/>
    <w:rsid w:val="00902B9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02B98"/>
    <w:pPr>
      <w:numPr>
        <w:numId w:val="11"/>
      </w:numPr>
      <w:tabs>
        <w:tab w:val="clear" w:pos="680"/>
      </w:tabs>
    </w:pPr>
  </w:style>
  <w:style w:type="paragraph" w:styleId="Index1">
    <w:name w:val="index 1"/>
    <w:basedOn w:val="Normal"/>
    <w:next w:val="Normal"/>
    <w:semiHidden/>
    <w:rsid w:val="00902B98"/>
    <w:pPr>
      <w:keepNext w:val="0"/>
      <w:tabs>
        <w:tab w:val="right" w:pos="4176"/>
      </w:tabs>
      <w:ind w:left="198" w:hanging="198"/>
    </w:pPr>
    <w:rPr>
      <w:rFonts w:ascii="Garamond" w:hAnsi="Garamond"/>
    </w:rPr>
  </w:style>
  <w:style w:type="paragraph" w:styleId="IndexHeading">
    <w:name w:val="index heading"/>
    <w:basedOn w:val="Normal"/>
    <w:next w:val="Index1"/>
    <w:semiHidden/>
    <w:rsid w:val="00902B98"/>
    <w:pPr>
      <w:spacing w:before="120" w:after="120"/>
    </w:pPr>
    <w:rPr>
      <w:rFonts w:ascii="Arial" w:hAnsi="Arial"/>
      <w:b/>
      <w:color w:val="918585"/>
      <w:sz w:val="24"/>
    </w:rPr>
  </w:style>
  <w:style w:type="paragraph" w:styleId="Header">
    <w:name w:val="header"/>
    <w:basedOn w:val="Normal"/>
    <w:link w:val="HeaderChar"/>
    <w:rsid w:val="00902B9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02B98"/>
    <w:rPr>
      <w:rFonts w:ascii="Times New Roman" w:eastAsia="Times New Roman" w:hAnsi="Times New Roman" w:cs="Times New Roman"/>
      <w:sz w:val="16"/>
      <w:szCs w:val="20"/>
      <w:lang w:val="en-GB" w:eastAsia="en-US"/>
    </w:rPr>
  </w:style>
  <w:style w:type="paragraph" w:customStyle="1" w:styleId="Chapter">
    <w:name w:val="Chapter"/>
    <w:basedOn w:val="Normal"/>
    <w:rsid w:val="00902B98"/>
    <w:pPr>
      <w:spacing w:before="240"/>
    </w:pPr>
    <w:rPr>
      <w:rFonts w:ascii="Times New Roman" w:hAnsi="Times New Roman"/>
      <w:smallCaps/>
      <w:spacing w:val="80"/>
      <w:sz w:val="28"/>
    </w:rPr>
  </w:style>
  <w:style w:type="paragraph" w:customStyle="1" w:styleId="InChapter">
    <w:name w:val="InChapter"/>
    <w:basedOn w:val="Heading3"/>
    <w:rsid w:val="00902B98"/>
    <w:pPr>
      <w:spacing w:after="240"/>
      <w:outlineLvl w:val="9"/>
    </w:pPr>
    <w:rPr>
      <w:noProof/>
    </w:rPr>
  </w:style>
  <w:style w:type="paragraph" w:styleId="Index2">
    <w:name w:val="index 2"/>
    <w:basedOn w:val="Normal"/>
    <w:next w:val="Normal"/>
    <w:semiHidden/>
    <w:rsid w:val="00902B98"/>
    <w:pPr>
      <w:tabs>
        <w:tab w:val="right" w:pos="4176"/>
      </w:tabs>
      <w:ind w:left="568" w:hanging="284"/>
    </w:pPr>
    <w:rPr>
      <w:rFonts w:ascii="Garamond" w:hAnsi="Garamond"/>
    </w:rPr>
  </w:style>
  <w:style w:type="paragraph" w:customStyle="1" w:styleId="Byline">
    <w:name w:val="Byline"/>
    <w:rsid w:val="00902B9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02B98"/>
    <w:pPr>
      <w:tabs>
        <w:tab w:val="clear" w:pos="3600"/>
        <w:tab w:val="clear" w:pos="3958"/>
      </w:tabs>
      <w:jc w:val="right"/>
    </w:pPr>
  </w:style>
  <w:style w:type="character" w:styleId="Emphasis">
    <w:name w:val="Emphasis"/>
    <w:basedOn w:val="DefaultParagraphFont"/>
    <w:qFormat/>
    <w:rsid w:val="00902B98"/>
    <w:rPr>
      <w:i/>
    </w:rPr>
  </w:style>
  <w:style w:type="paragraph" w:styleId="Caption">
    <w:name w:val="caption"/>
    <w:basedOn w:val="BodyText"/>
    <w:next w:val="Normal"/>
    <w:qFormat/>
    <w:rsid w:val="00902B98"/>
    <w:pPr>
      <w:framePr w:w="2268" w:hSpace="181" w:vSpace="181" w:wrap="around" w:vAnchor="text" w:hAnchor="page" w:x="1135" w:y="285" w:anchorLock="1"/>
    </w:pPr>
    <w:rPr>
      <w:i/>
    </w:rPr>
  </w:style>
  <w:style w:type="paragraph" w:customStyle="1" w:styleId="MiniTOCTitle">
    <w:name w:val="MiniTOCTitle"/>
    <w:basedOn w:val="Heading4"/>
    <w:rsid w:val="00902B98"/>
    <w:pPr>
      <w:spacing w:before="240"/>
      <w:outlineLvl w:val="9"/>
    </w:pPr>
    <w:rPr>
      <w:noProof/>
      <w:sz w:val="24"/>
    </w:rPr>
  </w:style>
  <w:style w:type="paragraph" w:customStyle="1" w:styleId="MiniTOCItem">
    <w:name w:val="MiniTOCItem"/>
    <w:basedOn w:val="ListBullet"/>
    <w:rsid w:val="00902B98"/>
    <w:pPr>
      <w:numPr>
        <w:numId w:val="0"/>
      </w:numPr>
      <w:tabs>
        <w:tab w:val="right" w:leader="dot" w:pos="6521"/>
      </w:tabs>
      <w:spacing w:before="0" w:after="0"/>
    </w:pPr>
  </w:style>
  <w:style w:type="paragraph" w:customStyle="1" w:styleId="TOFTitle">
    <w:name w:val="TOFTitle"/>
    <w:basedOn w:val="TOCTitle"/>
    <w:rsid w:val="00902B98"/>
  </w:style>
  <w:style w:type="paragraph" w:styleId="TableofFigures">
    <w:name w:val="table of figures"/>
    <w:basedOn w:val="Normal"/>
    <w:next w:val="Normal"/>
    <w:semiHidden/>
    <w:rsid w:val="00902B98"/>
    <w:pPr>
      <w:tabs>
        <w:tab w:val="right" w:leader="dot" w:pos="9072"/>
      </w:tabs>
      <w:ind w:left="970" w:hanging="403"/>
    </w:pPr>
    <w:rPr>
      <w:rFonts w:ascii="Times New Roman" w:hAnsi="Times New Roman"/>
      <w:b/>
    </w:rPr>
  </w:style>
  <w:style w:type="paragraph" w:styleId="ListNumber">
    <w:name w:val="List Number"/>
    <w:basedOn w:val="List"/>
    <w:rsid w:val="00902B98"/>
    <w:pPr>
      <w:numPr>
        <w:numId w:val="13"/>
      </w:numPr>
      <w:tabs>
        <w:tab w:val="clear" w:pos="340"/>
      </w:tabs>
    </w:pPr>
  </w:style>
  <w:style w:type="character" w:customStyle="1" w:styleId="WingdingSymbols">
    <w:name w:val="Wingding Symbols"/>
    <w:rsid w:val="00902B98"/>
    <w:rPr>
      <w:rFonts w:ascii="Wingdings" w:hAnsi="Wingdings"/>
    </w:rPr>
  </w:style>
  <w:style w:type="paragraph" w:customStyle="1" w:styleId="TableHeading">
    <w:name w:val="Table Heading"/>
    <w:basedOn w:val="HeadingBase"/>
    <w:rsid w:val="00902B98"/>
    <w:pPr>
      <w:keepLines/>
      <w:pBdr>
        <w:bottom w:val="single" w:sz="6" w:space="1" w:color="918585"/>
      </w:pBdr>
      <w:spacing w:before="240"/>
    </w:pPr>
  </w:style>
  <w:style w:type="character" w:customStyle="1" w:styleId="HotSpot">
    <w:name w:val="HotSpot"/>
    <w:rsid w:val="00902B98"/>
    <w:rPr>
      <w:color w:val="0033CC"/>
      <w:u w:val="none"/>
    </w:rPr>
  </w:style>
  <w:style w:type="paragraph" w:customStyle="1" w:styleId="BodyTextRight">
    <w:name w:val="Body Text Right"/>
    <w:basedOn w:val="BodyText"/>
    <w:rsid w:val="00902B98"/>
    <w:pPr>
      <w:spacing w:before="0" w:after="0"/>
      <w:jc w:val="right"/>
    </w:pPr>
  </w:style>
  <w:style w:type="paragraph" w:styleId="Index3">
    <w:name w:val="index 3"/>
    <w:basedOn w:val="ListNumber2"/>
    <w:next w:val="Normal"/>
    <w:semiHidden/>
    <w:rsid w:val="00902B98"/>
    <w:pPr>
      <w:numPr>
        <w:numId w:val="0"/>
      </w:numPr>
      <w:tabs>
        <w:tab w:val="right" w:leader="dot" w:pos="4176"/>
      </w:tabs>
    </w:pPr>
  </w:style>
  <w:style w:type="paragraph" w:styleId="ListNumber2">
    <w:name w:val="List Number 2"/>
    <w:basedOn w:val="List2"/>
    <w:rsid w:val="00902B98"/>
    <w:pPr>
      <w:numPr>
        <w:numId w:val="8"/>
      </w:numPr>
      <w:tabs>
        <w:tab w:val="clear" w:pos="1060"/>
      </w:tabs>
    </w:pPr>
  </w:style>
  <w:style w:type="paragraph" w:customStyle="1" w:styleId="MarginNote">
    <w:name w:val="Margin Note"/>
    <w:basedOn w:val="BodyText"/>
    <w:rsid w:val="00902B9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02B9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02B9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02B98"/>
    <w:rPr>
      <w:sz w:val="32"/>
    </w:rPr>
  </w:style>
  <w:style w:type="paragraph" w:customStyle="1" w:styleId="HeadingProcedure">
    <w:name w:val="Heading Procedure"/>
    <w:basedOn w:val="HeadingBase"/>
    <w:next w:val="Normal"/>
    <w:rsid w:val="00902B98"/>
    <w:pPr>
      <w:tabs>
        <w:tab w:val="left" w:pos="0"/>
      </w:tabs>
      <w:spacing w:before="120" w:after="60"/>
    </w:pPr>
    <w:rPr>
      <w:i/>
      <w:color w:val="918585"/>
      <w:sz w:val="22"/>
    </w:rPr>
  </w:style>
  <w:style w:type="paragraph" w:customStyle="1" w:styleId="TableBodyText">
    <w:name w:val="Table Body Text"/>
    <w:basedOn w:val="BodyText"/>
    <w:rsid w:val="00902B98"/>
    <w:pPr>
      <w:spacing w:before="60" w:after="60"/>
    </w:pPr>
  </w:style>
  <w:style w:type="paragraph" w:styleId="ListContinue">
    <w:name w:val="List Continue"/>
    <w:basedOn w:val="List"/>
    <w:rsid w:val="00902B98"/>
    <w:pPr>
      <w:ind w:firstLine="0"/>
    </w:pPr>
  </w:style>
  <w:style w:type="paragraph" w:customStyle="1" w:styleId="ListNote">
    <w:name w:val="List Note"/>
    <w:basedOn w:val="List"/>
    <w:rsid w:val="00902B98"/>
    <w:pPr>
      <w:pBdr>
        <w:top w:val="single" w:sz="6" w:space="2" w:color="918585"/>
        <w:bottom w:val="single" w:sz="6" w:space="2" w:color="918585"/>
      </w:pBdr>
      <w:tabs>
        <w:tab w:val="left" w:pos="1021"/>
      </w:tabs>
      <w:ind w:firstLine="0"/>
    </w:pPr>
  </w:style>
  <w:style w:type="paragraph" w:customStyle="1" w:styleId="Warning">
    <w:name w:val="Warning"/>
    <w:basedOn w:val="BodyText"/>
    <w:rsid w:val="00902B98"/>
    <w:pPr>
      <w:shd w:val="clear" w:color="auto" w:fill="D9D9D9"/>
      <w:tabs>
        <w:tab w:val="left" w:pos="992"/>
      </w:tabs>
      <w:ind w:left="119" w:right="119"/>
    </w:pPr>
    <w:rPr>
      <w:sz w:val="20"/>
    </w:rPr>
  </w:style>
  <w:style w:type="paragraph" w:customStyle="1" w:styleId="MarginIcons">
    <w:name w:val="Margin Icons"/>
    <w:basedOn w:val="BodyText"/>
    <w:rsid w:val="00902B9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02B98"/>
    <w:rPr>
      <w:rFonts w:ascii="Courier New" w:hAnsi="Courier New"/>
    </w:rPr>
  </w:style>
  <w:style w:type="paragraph" w:customStyle="1" w:styleId="NoteBullet">
    <w:name w:val="Note Bullet"/>
    <w:basedOn w:val="Note"/>
    <w:rsid w:val="00902B98"/>
    <w:pPr>
      <w:tabs>
        <w:tab w:val="clear" w:pos="680"/>
      </w:tabs>
      <w:spacing w:before="60" w:after="60"/>
    </w:pPr>
  </w:style>
  <w:style w:type="paragraph" w:customStyle="1" w:styleId="SubHeading2">
    <w:name w:val="SubHeading2"/>
    <w:basedOn w:val="HeadingBase"/>
    <w:rsid w:val="00902B98"/>
    <w:pPr>
      <w:spacing w:before="240" w:after="60"/>
    </w:pPr>
    <w:rPr>
      <w:sz w:val="20"/>
    </w:rPr>
  </w:style>
  <w:style w:type="paragraph" w:customStyle="1" w:styleId="SubHeading1">
    <w:name w:val="SubHeading1"/>
    <w:basedOn w:val="HeadingBase"/>
    <w:rsid w:val="00902B98"/>
    <w:pPr>
      <w:spacing w:before="240" w:after="60"/>
    </w:pPr>
    <w:rPr>
      <w:color w:val="918585"/>
      <w:sz w:val="22"/>
    </w:rPr>
  </w:style>
  <w:style w:type="paragraph" w:customStyle="1" w:styleId="SideHeading">
    <w:name w:val="Side Heading"/>
    <w:basedOn w:val="HeadingBase"/>
    <w:rsid w:val="00902B9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02B98"/>
    <w:pPr>
      <w:numPr>
        <w:numId w:val="9"/>
      </w:numPr>
    </w:pPr>
  </w:style>
  <w:style w:type="paragraph" w:styleId="PlainText">
    <w:name w:val="Plain Text"/>
    <w:basedOn w:val="Normal"/>
    <w:link w:val="PlainTextChar"/>
    <w:rsid w:val="00902B98"/>
    <w:rPr>
      <w:sz w:val="20"/>
    </w:rPr>
  </w:style>
  <w:style w:type="character" w:customStyle="1" w:styleId="PlainTextChar">
    <w:name w:val="Plain Text Char"/>
    <w:basedOn w:val="DefaultParagraphFont"/>
    <w:link w:val="PlainText"/>
    <w:rsid w:val="00902B98"/>
    <w:rPr>
      <w:rFonts w:ascii="Courier New" w:eastAsia="Times New Roman" w:hAnsi="Courier New" w:cs="Times New Roman"/>
      <w:sz w:val="20"/>
      <w:szCs w:val="20"/>
      <w:lang w:eastAsia="en-US"/>
    </w:rPr>
  </w:style>
  <w:style w:type="character" w:customStyle="1" w:styleId="MenuOption">
    <w:name w:val="Menu Option"/>
    <w:basedOn w:val="DefaultParagraphFont"/>
    <w:rsid w:val="00902B98"/>
    <w:rPr>
      <w:b/>
      <w:smallCaps/>
    </w:rPr>
  </w:style>
  <w:style w:type="paragraph" w:customStyle="1" w:styleId="TableListNumber">
    <w:name w:val="Table List Number"/>
    <w:basedOn w:val="ListNumber"/>
    <w:rsid w:val="00902B98"/>
    <w:pPr>
      <w:numPr>
        <w:numId w:val="0"/>
      </w:numPr>
    </w:pPr>
  </w:style>
  <w:style w:type="paragraph" w:styleId="TOC4">
    <w:name w:val="toc 4"/>
    <w:basedOn w:val="TOCBase"/>
    <w:next w:val="Normal"/>
    <w:semiHidden/>
    <w:rsid w:val="00902B98"/>
    <w:pPr>
      <w:tabs>
        <w:tab w:val="right" w:leader="dot" w:pos="9071"/>
      </w:tabs>
      <w:ind w:left="1701"/>
    </w:pPr>
  </w:style>
  <w:style w:type="paragraph" w:customStyle="1" w:styleId="ListAlpha">
    <w:name w:val="List Alpha"/>
    <w:basedOn w:val="List"/>
    <w:rsid w:val="00902B98"/>
    <w:pPr>
      <w:numPr>
        <w:numId w:val="7"/>
      </w:numPr>
    </w:pPr>
  </w:style>
  <w:style w:type="paragraph" w:customStyle="1" w:styleId="ListAlpha2">
    <w:name w:val="List Alpha 2"/>
    <w:basedOn w:val="List2"/>
    <w:rsid w:val="00902B98"/>
    <w:pPr>
      <w:numPr>
        <w:numId w:val="6"/>
      </w:numPr>
    </w:pPr>
  </w:style>
  <w:style w:type="paragraph" w:styleId="List2">
    <w:name w:val="List 2"/>
    <w:basedOn w:val="BodyText"/>
    <w:rsid w:val="00902B98"/>
    <w:pPr>
      <w:tabs>
        <w:tab w:val="left" w:pos="680"/>
      </w:tabs>
      <w:spacing w:before="60" w:after="60"/>
      <w:ind w:left="680" w:hanging="340"/>
    </w:pPr>
  </w:style>
  <w:style w:type="paragraph" w:styleId="List3">
    <w:name w:val="List 3"/>
    <w:basedOn w:val="BodyText"/>
    <w:rsid w:val="00902B98"/>
    <w:pPr>
      <w:tabs>
        <w:tab w:val="left" w:pos="1021"/>
      </w:tabs>
      <w:spacing w:before="60" w:after="60"/>
      <w:ind w:left="1020" w:hanging="340"/>
    </w:pPr>
  </w:style>
  <w:style w:type="paragraph" w:styleId="List4">
    <w:name w:val="List 4"/>
    <w:basedOn w:val="BodyText"/>
    <w:rsid w:val="00902B98"/>
    <w:pPr>
      <w:tabs>
        <w:tab w:val="left" w:pos="1361"/>
      </w:tabs>
      <w:spacing w:before="60" w:after="60"/>
      <w:ind w:left="1361" w:hanging="340"/>
    </w:pPr>
  </w:style>
  <w:style w:type="paragraph" w:styleId="List5">
    <w:name w:val="List 5"/>
    <w:basedOn w:val="BodyText"/>
    <w:rsid w:val="00902B98"/>
    <w:pPr>
      <w:tabs>
        <w:tab w:val="left" w:pos="1701"/>
      </w:tabs>
      <w:spacing w:before="60" w:after="60"/>
      <w:ind w:left="1701" w:hanging="340"/>
    </w:pPr>
  </w:style>
  <w:style w:type="paragraph" w:styleId="ListBullet3">
    <w:name w:val="List Bullet 3"/>
    <w:basedOn w:val="List3"/>
    <w:rsid w:val="00902B98"/>
    <w:pPr>
      <w:numPr>
        <w:numId w:val="12"/>
      </w:numPr>
      <w:tabs>
        <w:tab w:val="clear" w:pos="1021"/>
      </w:tabs>
      <w:ind w:left="1037" w:hanging="357"/>
    </w:pPr>
  </w:style>
  <w:style w:type="paragraph" w:styleId="ListBullet4">
    <w:name w:val="List Bullet 4"/>
    <w:basedOn w:val="List4"/>
    <w:rsid w:val="00902B98"/>
    <w:pPr>
      <w:numPr>
        <w:numId w:val="1"/>
      </w:numPr>
      <w:tabs>
        <w:tab w:val="clear" w:pos="1361"/>
      </w:tabs>
    </w:pPr>
  </w:style>
  <w:style w:type="paragraph" w:styleId="ListBullet5">
    <w:name w:val="List Bullet 5"/>
    <w:basedOn w:val="List5"/>
    <w:rsid w:val="00902B98"/>
    <w:pPr>
      <w:numPr>
        <w:numId w:val="2"/>
      </w:numPr>
    </w:pPr>
  </w:style>
  <w:style w:type="paragraph" w:styleId="ListContinue2">
    <w:name w:val="List Continue 2"/>
    <w:basedOn w:val="List2"/>
    <w:rsid w:val="00902B98"/>
    <w:pPr>
      <w:ind w:firstLine="0"/>
    </w:pPr>
  </w:style>
  <w:style w:type="paragraph" w:styleId="ListContinue3">
    <w:name w:val="List Continue 3"/>
    <w:basedOn w:val="List3"/>
    <w:rsid w:val="00902B98"/>
    <w:pPr>
      <w:ind w:left="1021" w:firstLine="0"/>
    </w:pPr>
  </w:style>
  <w:style w:type="paragraph" w:styleId="ListContinue4">
    <w:name w:val="List Continue 4"/>
    <w:basedOn w:val="List4"/>
    <w:rsid w:val="00902B98"/>
    <w:pPr>
      <w:ind w:firstLine="0"/>
    </w:pPr>
  </w:style>
  <w:style w:type="paragraph" w:styleId="ListContinue5">
    <w:name w:val="List Continue 5"/>
    <w:basedOn w:val="List5"/>
    <w:rsid w:val="00902B98"/>
    <w:pPr>
      <w:ind w:firstLine="0"/>
    </w:pPr>
  </w:style>
  <w:style w:type="paragraph" w:styleId="ListNumber3">
    <w:name w:val="List Number 3"/>
    <w:basedOn w:val="List3"/>
    <w:rsid w:val="00902B98"/>
    <w:pPr>
      <w:numPr>
        <w:numId w:val="3"/>
      </w:numPr>
    </w:pPr>
  </w:style>
  <w:style w:type="paragraph" w:styleId="ListNumber4">
    <w:name w:val="List Number 4"/>
    <w:basedOn w:val="List4"/>
    <w:rsid w:val="00902B98"/>
    <w:pPr>
      <w:numPr>
        <w:numId w:val="4"/>
      </w:numPr>
    </w:pPr>
  </w:style>
  <w:style w:type="paragraph" w:styleId="ListNumber5">
    <w:name w:val="List Number 5"/>
    <w:basedOn w:val="List5"/>
    <w:rsid w:val="00902B98"/>
    <w:pPr>
      <w:numPr>
        <w:numId w:val="5"/>
      </w:numPr>
    </w:pPr>
  </w:style>
  <w:style w:type="paragraph" w:styleId="BlockText">
    <w:name w:val="Block Text"/>
    <w:basedOn w:val="Normal"/>
    <w:rsid w:val="00902B98"/>
    <w:pPr>
      <w:spacing w:after="120"/>
      <w:ind w:left="1440" w:right="1440"/>
    </w:pPr>
  </w:style>
  <w:style w:type="character" w:customStyle="1" w:styleId="Subscript">
    <w:name w:val="Subscript"/>
    <w:basedOn w:val="DefaultParagraphFont"/>
    <w:rsid w:val="00902B98"/>
    <w:rPr>
      <w:sz w:val="16"/>
      <w:vertAlign w:val="subscript"/>
    </w:rPr>
  </w:style>
  <w:style w:type="character" w:customStyle="1" w:styleId="Superscript">
    <w:name w:val="Superscript"/>
    <w:basedOn w:val="DefaultParagraphFont"/>
    <w:rsid w:val="00902B98"/>
    <w:rPr>
      <w:sz w:val="16"/>
      <w:vertAlign w:val="superscript"/>
    </w:rPr>
  </w:style>
  <w:style w:type="character" w:customStyle="1" w:styleId="Symbols">
    <w:name w:val="Symbols"/>
    <w:basedOn w:val="DefaultParagraphFont"/>
    <w:rsid w:val="00902B98"/>
    <w:rPr>
      <w:rFonts w:ascii="Symbol" w:hAnsi="Symbol"/>
    </w:rPr>
  </w:style>
  <w:style w:type="character" w:customStyle="1" w:styleId="MenuOptions">
    <w:name w:val="Menu Options"/>
    <w:basedOn w:val="DefaultParagraphFont"/>
    <w:rsid w:val="00902B98"/>
    <w:rPr>
      <w:rFonts w:ascii="Arial Narrow" w:hAnsi="Arial Narrow"/>
      <w:smallCaps/>
    </w:rPr>
  </w:style>
  <w:style w:type="character" w:customStyle="1" w:styleId="Buttons">
    <w:name w:val="Buttons"/>
    <w:basedOn w:val="DefaultParagraphFont"/>
    <w:rsid w:val="00902B98"/>
    <w:rPr>
      <w:b/>
    </w:rPr>
  </w:style>
  <w:style w:type="character" w:customStyle="1" w:styleId="Underlined">
    <w:name w:val="Underlined"/>
    <w:basedOn w:val="DefaultParagraphFont"/>
    <w:rsid w:val="00902B98"/>
    <w:rPr>
      <w:u w:val="single"/>
    </w:rPr>
  </w:style>
  <w:style w:type="paragraph" w:customStyle="1" w:styleId="TableBodyTextRight">
    <w:name w:val="Table Body Text Right"/>
    <w:basedOn w:val="TableBodyText"/>
    <w:rsid w:val="00902B98"/>
    <w:pPr>
      <w:widowControl w:val="0"/>
      <w:autoSpaceDE w:val="0"/>
      <w:autoSpaceDN w:val="0"/>
      <w:adjustRightInd w:val="0"/>
      <w:jc w:val="right"/>
    </w:pPr>
    <w:rPr>
      <w:rFonts w:cs="Arial"/>
      <w:szCs w:val="18"/>
    </w:rPr>
  </w:style>
  <w:style w:type="paragraph" w:customStyle="1" w:styleId="CopyrightText">
    <w:name w:val="Copyright Text"/>
    <w:basedOn w:val="BodyText"/>
    <w:rsid w:val="00902B98"/>
    <w:rPr>
      <w:sz w:val="18"/>
    </w:rPr>
  </w:style>
  <w:style w:type="paragraph" w:customStyle="1" w:styleId="BodySmallRight">
    <w:name w:val="Body Small Right"/>
    <w:basedOn w:val="BodyTextRight"/>
    <w:rsid w:val="00902B98"/>
    <w:rPr>
      <w:sz w:val="18"/>
      <w:szCs w:val="18"/>
    </w:rPr>
  </w:style>
  <w:style w:type="paragraph" w:customStyle="1" w:styleId="MarginEdition">
    <w:name w:val="Margin Edition"/>
    <w:basedOn w:val="MarginNote"/>
    <w:rsid w:val="00902B98"/>
    <w:pPr>
      <w:spacing w:before="0" w:after="0"/>
    </w:pPr>
    <w:rPr>
      <w:rFonts w:ascii="Times New Roman" w:hAnsi="Times New Roman"/>
      <w:color w:val="999999"/>
    </w:rPr>
  </w:style>
  <w:style w:type="paragraph" w:customStyle="1" w:styleId="Spacer">
    <w:name w:val="Spacer"/>
    <w:basedOn w:val="Normal"/>
    <w:rsid w:val="00902B98"/>
    <w:rPr>
      <w:sz w:val="2"/>
      <w:szCs w:val="2"/>
    </w:rPr>
  </w:style>
  <w:style w:type="character" w:customStyle="1" w:styleId="Small">
    <w:name w:val="Small"/>
    <w:basedOn w:val="DefaultParagraphFont"/>
    <w:rsid w:val="00902B98"/>
    <w:rPr>
      <w:sz w:val="16"/>
    </w:rPr>
  </w:style>
  <w:style w:type="paragraph" w:customStyle="1" w:styleId="WideTable">
    <w:name w:val="Wide Table"/>
    <w:basedOn w:val="Normal"/>
    <w:rsid w:val="00902B98"/>
    <w:pPr>
      <w:ind w:left="-1418"/>
    </w:pPr>
    <w:rPr>
      <w:sz w:val="2"/>
      <w:szCs w:val="2"/>
    </w:rPr>
  </w:style>
  <w:style w:type="character" w:styleId="PageNumber">
    <w:name w:val="page number"/>
    <w:basedOn w:val="DefaultParagraphFont"/>
    <w:rsid w:val="00902B98"/>
  </w:style>
  <w:style w:type="paragraph" w:styleId="Quote">
    <w:name w:val="Quote"/>
    <w:basedOn w:val="Heading1"/>
    <w:link w:val="QuoteChar"/>
    <w:qFormat/>
    <w:rsid w:val="00902B98"/>
    <w:rPr>
      <w:b w:val="0"/>
      <w:sz w:val="72"/>
      <w:szCs w:val="72"/>
      <w:lang w:val="en-NZ"/>
    </w:rPr>
  </w:style>
  <w:style w:type="character" w:customStyle="1" w:styleId="QuoteChar">
    <w:name w:val="Quote Char"/>
    <w:basedOn w:val="DefaultParagraphFont"/>
    <w:link w:val="Quote"/>
    <w:rsid w:val="00902B9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02B98"/>
    <w:pPr>
      <w:pageBreakBefore/>
    </w:pPr>
  </w:style>
  <w:style w:type="paragraph" w:customStyle="1" w:styleId="Border">
    <w:name w:val="Border"/>
    <w:basedOn w:val="Normal"/>
    <w:qFormat/>
    <w:rsid w:val="00902B9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02B98"/>
    <w:rPr>
      <w:b/>
      <w:bCs/>
      <w:i/>
      <w:iCs/>
      <w:color w:val="auto"/>
    </w:rPr>
  </w:style>
  <w:style w:type="paragraph" w:styleId="IntenseQuote">
    <w:name w:val="Intense Quote"/>
    <w:basedOn w:val="Normal"/>
    <w:next w:val="Normal"/>
    <w:link w:val="IntenseQuoteChar"/>
    <w:uiPriority w:val="30"/>
    <w:qFormat/>
    <w:rsid w:val="00902B9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02B9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02B98"/>
    <w:rPr>
      <w:smallCaps/>
      <w:color w:val="auto"/>
      <w:u w:val="single"/>
    </w:rPr>
  </w:style>
  <w:style w:type="character" w:styleId="IntenseReference">
    <w:name w:val="Intense Reference"/>
    <w:basedOn w:val="DefaultParagraphFont"/>
    <w:uiPriority w:val="32"/>
    <w:qFormat/>
    <w:rsid w:val="00902B98"/>
    <w:rPr>
      <w:b/>
      <w:bCs/>
      <w:smallCaps/>
      <w:color w:val="auto"/>
      <w:spacing w:val="5"/>
      <w:u w:val="single"/>
    </w:rPr>
  </w:style>
  <w:style w:type="paragraph" w:customStyle="1" w:styleId="2ColumnHeading">
    <w:name w:val="2Column Heading"/>
    <w:basedOn w:val="BodyText"/>
    <w:qFormat/>
    <w:rsid w:val="00902B98"/>
    <w:pPr>
      <w:spacing w:after="60"/>
      <w:ind w:left="-2268"/>
    </w:pPr>
    <w:rPr>
      <w:b/>
    </w:rPr>
  </w:style>
  <w:style w:type="paragraph" w:customStyle="1" w:styleId="Heading1TOC">
    <w:name w:val="Heading1 TOC"/>
    <w:basedOn w:val="Normal"/>
    <w:qFormat/>
    <w:rsid w:val="00902B98"/>
    <w:pPr>
      <w:spacing w:before="240" w:after="120"/>
    </w:pPr>
    <w:rPr>
      <w:rFonts w:ascii="Times New Roman" w:hAnsi="Times New Roman"/>
      <w:b/>
      <w:sz w:val="32"/>
    </w:rPr>
  </w:style>
  <w:style w:type="paragraph" w:customStyle="1" w:styleId="Heading2TOC">
    <w:name w:val="Heading2 TOC"/>
    <w:basedOn w:val="Normal"/>
    <w:qFormat/>
    <w:rsid w:val="00902B98"/>
    <w:pPr>
      <w:spacing w:before="240" w:after="60"/>
    </w:pPr>
    <w:rPr>
      <w:rFonts w:ascii="Times New Roman" w:hAnsi="Times New Roman"/>
      <w:b/>
      <w:sz w:val="28"/>
    </w:rPr>
  </w:style>
  <w:style w:type="character" w:customStyle="1" w:styleId="Underline">
    <w:name w:val="Underline"/>
    <w:basedOn w:val="DefaultParagraphFont"/>
    <w:qFormat/>
    <w:rsid w:val="00902B98"/>
    <w:rPr>
      <w:u w:val="single"/>
    </w:rPr>
  </w:style>
  <w:style w:type="character" w:customStyle="1" w:styleId="BoldandItalics">
    <w:name w:val="Bold and Italics"/>
    <w:qFormat/>
    <w:rsid w:val="00902B98"/>
    <w:rPr>
      <w:b/>
      <w:i/>
      <w:u w:val="none"/>
    </w:rPr>
  </w:style>
  <w:style w:type="paragraph" w:styleId="BalloonText">
    <w:name w:val="Balloon Text"/>
    <w:basedOn w:val="Normal"/>
    <w:link w:val="BalloonTextChar"/>
    <w:rsid w:val="00902B98"/>
    <w:rPr>
      <w:rFonts w:ascii="Tahoma" w:hAnsi="Tahoma" w:cs="Tahoma"/>
      <w:sz w:val="16"/>
      <w:szCs w:val="16"/>
    </w:rPr>
  </w:style>
  <w:style w:type="character" w:customStyle="1" w:styleId="BalloonTextChar">
    <w:name w:val="Balloon Text Char"/>
    <w:basedOn w:val="DefaultParagraphFont"/>
    <w:link w:val="BalloonText"/>
    <w:rsid w:val="00902B9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02B9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02B9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02B98"/>
    <w:rPr>
      <w:b/>
      <w:color w:val="660033"/>
      <w:spacing w:val="0"/>
    </w:rPr>
  </w:style>
  <w:style w:type="paragraph" w:customStyle="1" w:styleId="Nameditemlist">
    <w:name w:val="Named item list"/>
    <w:basedOn w:val="BodyText"/>
    <w:qFormat/>
    <w:rsid w:val="00902B98"/>
    <w:pPr>
      <w:tabs>
        <w:tab w:val="left" w:pos="2835"/>
      </w:tabs>
      <w:ind w:left="2835" w:hanging="2835"/>
    </w:pPr>
  </w:style>
  <w:style w:type="paragraph" w:customStyle="1" w:styleId="BodyTextnopadding">
    <w:name w:val="Body Text no padding"/>
    <w:basedOn w:val="BodyText"/>
    <w:qFormat/>
    <w:rsid w:val="00902B98"/>
    <w:pPr>
      <w:spacing w:before="0" w:after="0"/>
    </w:pPr>
  </w:style>
  <w:style w:type="paragraph" w:customStyle="1" w:styleId="BodyTextBold">
    <w:name w:val="Body Text Bold"/>
    <w:basedOn w:val="BodyText"/>
    <w:qFormat/>
    <w:rsid w:val="00902B98"/>
    <w:rPr>
      <w:b/>
    </w:rPr>
  </w:style>
  <w:style w:type="character" w:styleId="Hyperlink">
    <w:name w:val="Hyperlink"/>
    <w:basedOn w:val="DefaultParagraphFont"/>
    <w:uiPriority w:val="99"/>
    <w:unhideWhenUsed/>
    <w:rsid w:val="00BF329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744</Words>
  <Characters>4723</Characters>
  <Application>Microsoft Office Word</Application>
  <DocSecurity>0</DocSecurity>
  <Lines>236</Lines>
  <Paragraphs>109</Paragraphs>
  <ScaleCrop>false</ScaleCrop>
  <Company>Author-it Software Corporation Ltd.</Company>
  <LinksUpToDate>false</LinksUpToDate>
  <CharactersWithSpaces>5358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CPPFES2049 Conduct recovery, reclaim and fill operations for scheduled gaseous fire-extinguishing agents</dc:title>
  <dc:subject>Approved</dc:subject>
  <dc:creator>Artibus Innovation</dc:creator>
  <cp:keywords>Release: 1</cp:keywords>
  <dc:description>Review Date: 12 April 2008</dc:description>
  <cp:lastModifiedBy>HSD_TPCMSd.prod</cp:lastModifiedBy>
  <cp:revision>3</cp:revision>
  <dcterms:created xsi:type="dcterms:W3CDTF">2022-12-19T06:30:00Z</dcterms:created>
  <dcterms:modified xsi:type="dcterms:W3CDTF">2022-12-19T06:30:00Z</dcterms:modified>
</cp:coreProperties>
</file>