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5A1" w:rsidP="00C035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CPPFES2049 Conduct recovery, reclaim and fill operations for scheduled gaseous fire-extinguishing agents</w:t>
      </w:r>
      <w:r>
        <w:fldChar w:fldCharType="end"/>
      </w:r>
    </w:p>
    <w:p w:rsidR="00C035A1" w:rsidP="00C035A1">
      <w:pPr>
        <w:pStyle w:val="Version"/>
        <w:sectPr w:rsidSect="005B1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485" w:rsidP="005B1485">
      <w:pPr>
        <w:pStyle w:val="SuperHeading"/>
      </w:pPr>
      <w:r w:rsidRPr="005B1485">
        <w:t>Assessment Requirements for CPPFES2049 Conduct recovery, reclaim and fill operations for scheduled gaseous fire-extinguishing agents</w:t>
      </w:r>
    </w:p>
    <w:p w:rsidR="00000000" w:rsidRPr="005B1485" w:rsidP="005B1485">
      <w:pPr>
        <w:pStyle w:val="Heading1"/>
      </w:pPr>
      <w:bookmarkStart w:id="1" w:name="O_1163638"/>
      <w:bookmarkEnd w:id="1"/>
      <w:r w:rsidRPr="005B14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5B1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85">
            <w:pPr>
              <w:pStyle w:val="BodyText"/>
              <w:rPr>
                <w:lang w:val="en-NZ"/>
              </w:rPr>
            </w:pPr>
            <w:r w:rsidRPr="005B1485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85" w:rsidP="005B1485">
            <w:pPr>
              <w:pStyle w:val="BodyText"/>
            </w:pPr>
            <w:r w:rsidRPr="005B1485">
              <w:t>This version first released with CPP Property Services Training Package Release 13.0.</w:t>
            </w:r>
          </w:p>
          <w:p w:rsidR="00000000" w:rsidRPr="005B1485" w:rsidP="005B1485">
            <w:pPr>
              <w:pStyle w:val="BodyText"/>
            </w:pPr>
            <w:r w:rsidRPr="005B1485">
              <w:t>Supersedes and is equivalent to CPPFES2049A Conduct recovery, reclaim and fill operations for scheduled gaseous fire-extinguishing agents.  Unit updated to meet the Stand</w:t>
            </w:r>
            <w:r w:rsidRPr="005B1485">
              <w:t>ards for Training Packages 2012.</w:t>
            </w:r>
          </w:p>
        </w:tc>
      </w:tr>
    </w:tbl>
    <w:p w:rsidR="00000000" w:rsidRPr="005B1485" w:rsidP="005B1485">
      <w:pPr>
        <w:pStyle w:val="BodyText"/>
      </w:pPr>
    </w:p>
    <w:p w:rsidR="00000000" w:rsidRPr="005B1485" w:rsidP="005B1485">
      <w:pPr>
        <w:pStyle w:val="AllowPageBreak"/>
      </w:pPr>
    </w:p>
    <w:p w:rsidR="00000000" w:rsidRPr="005B1485" w:rsidP="005B1485">
      <w:pPr>
        <w:pStyle w:val="Heading1"/>
      </w:pPr>
      <w:bookmarkStart w:id="2" w:name="O_1163641"/>
      <w:bookmarkEnd w:id="2"/>
      <w:r w:rsidRPr="005B1485">
        <w:t>Performance Evidence</w:t>
      </w:r>
    </w:p>
    <w:p w:rsidR="00000000" w:rsidRPr="005B1485" w:rsidP="00C035A1">
      <w:pPr>
        <w:pStyle w:val="BodyText"/>
      </w:pPr>
      <w:r w:rsidRPr="005B1485">
        <w:t>To demonstrate competency, a candidate must meet the elements and performance criteria of this unit by conducting recovery, reclaim and fill operations for scheduled gaseous fire-ex</w:t>
      </w:r>
      <w:r w:rsidRPr="005B1485">
        <w:t>tinguishing agents on two different occasions.</w:t>
      </w:r>
    </w:p>
    <w:p w:rsidR="00000000" w:rsidRPr="005B1485" w:rsidP="005B1485">
      <w:pPr>
        <w:pStyle w:val="Heading1"/>
      </w:pPr>
      <w:bookmarkStart w:id="3" w:name="O_1163640"/>
      <w:bookmarkEnd w:id="3"/>
      <w:r w:rsidRPr="005B1485">
        <w:t>Knowledge Evidence</w:t>
      </w:r>
    </w:p>
    <w:p w:rsidR="00000000" w:rsidRPr="005B1485" w:rsidP="00C035A1">
      <w:pPr>
        <w:pStyle w:val="BodyText"/>
      </w:pPr>
      <w:r w:rsidRPr="005B1485">
        <w:t>To be competent in this unit, a candidate must demonstrate knowledge of:</w:t>
      </w:r>
    </w:p>
    <w:p w:rsidR="00000000" w:rsidRPr="005B1485" w:rsidP="005B1485">
      <w:pPr>
        <w:pStyle w:val="ListBullet"/>
      </w:pPr>
      <w:r w:rsidRPr="005B1485">
        <w:t>action to take when a breach of work health and safety (WHS), ozone depleting substances (ODS) an</w:t>
      </w:r>
      <w:r w:rsidRPr="005B1485">
        <w:t>d synthetic greenhouse gases (SGG) regulation or other policy occurs when conducting recovery, reclaim and fill operations for scheduled gaseous fire-extinguishing agents</w:t>
      </w:r>
    </w:p>
    <w:p w:rsidR="00000000" w:rsidRPr="005B1485" w:rsidP="005B1485">
      <w:pPr>
        <w:pStyle w:val="ListBullet"/>
      </w:pPr>
      <w:r w:rsidRPr="005B1485">
        <w:t>documentation used during recovery, reclamation and fill processing of ODS and SGG co</w:t>
      </w:r>
      <w:r w:rsidRPr="005B1485">
        <w:t>ntainers</w:t>
      </w:r>
    </w:p>
    <w:p w:rsidR="00000000" w:rsidRPr="005B1485" w:rsidP="005B1485">
      <w:pPr>
        <w:pStyle w:val="ListBullet"/>
      </w:pPr>
      <w:r w:rsidRPr="005B1485">
        <w:t>fill density requirements for different agents per unit of volume of container</w:t>
      </w:r>
    </w:p>
    <w:p w:rsidR="00000000" w:rsidRPr="005B1485" w:rsidP="005B1485">
      <w:pPr>
        <w:pStyle w:val="ListBullet"/>
      </w:pPr>
      <w:r w:rsidRPr="005B1485">
        <w:t>implications of ignoring safety precautions used in recovery, reclamation and fill processing</w:t>
      </w:r>
    </w:p>
    <w:p w:rsidR="00000000" w:rsidRPr="005B1485" w:rsidP="005B1485">
      <w:pPr>
        <w:pStyle w:val="ListBullet"/>
      </w:pPr>
      <w:r w:rsidRPr="005B1485">
        <w:t>key features of legislation, regulations, Australian Standards and licensing relevant to recovery, reclaim and fill operations for scheduled gaseous fire-extinguishing agents:</w:t>
      </w:r>
    </w:p>
    <w:p w:rsidR="00000000" w:rsidRPr="005B1485" w:rsidP="005B1485">
      <w:pPr>
        <w:pStyle w:val="ListBullet2"/>
      </w:pPr>
      <w:r w:rsidRPr="005B1485">
        <w:t>environmental protection, ODS and SGG emission requirements</w:t>
      </w:r>
    </w:p>
    <w:p w:rsidR="00000000" w:rsidRPr="005B1485" w:rsidP="005B1485">
      <w:pPr>
        <w:pStyle w:val="ListBullet2"/>
      </w:pPr>
      <w:r w:rsidRPr="005B1485">
        <w:t>extinguishing agent</w:t>
      </w:r>
      <w:r w:rsidRPr="005B1485">
        <w:t xml:space="preserve"> handling licence (EAHL) requirements</w:t>
      </w:r>
    </w:p>
    <w:p w:rsidR="00000000" w:rsidRPr="005B1485" w:rsidP="005B1485">
      <w:pPr>
        <w:pStyle w:val="ListBullet2"/>
      </w:pPr>
      <w:r w:rsidRPr="005B1485">
        <w:t>records and documentation</w:t>
      </w:r>
    </w:p>
    <w:p w:rsidR="00000000" w:rsidRPr="005B1485" w:rsidP="005B1485">
      <w:pPr>
        <w:pStyle w:val="ListBullet2"/>
      </w:pPr>
      <w:r w:rsidRPr="005B1485">
        <w:t>storing, recovering, recycling and charging scheduled ODS and SGG agents</w:t>
      </w:r>
    </w:p>
    <w:p w:rsidR="00000000" w:rsidRPr="005B1485" w:rsidP="005B1485">
      <w:pPr>
        <w:pStyle w:val="ListBullet"/>
      </w:pPr>
      <w:r w:rsidRPr="005B1485">
        <w:t>manual-handling techniques and aids to move gaseous fire-extinguishing agent containers</w:t>
      </w:r>
    </w:p>
    <w:p w:rsidR="00000000" w:rsidRPr="005B1485" w:rsidP="005B1485">
      <w:pPr>
        <w:pStyle w:val="ListBullet"/>
      </w:pPr>
      <w:r w:rsidRPr="005B1485">
        <w:t>maximum working pressure and w</w:t>
      </w:r>
      <w:r w:rsidRPr="005B1485">
        <w:t>ater capacity of containers to determine container fill requirements</w:t>
      </w:r>
    </w:p>
    <w:p w:rsidR="00000000" w:rsidRPr="005B1485" w:rsidP="005B1485">
      <w:pPr>
        <w:pStyle w:val="ListBullet"/>
      </w:pPr>
      <w:r w:rsidRPr="005B1485">
        <w:t>methods for:</w:t>
      </w:r>
    </w:p>
    <w:p w:rsidR="00000000" w:rsidRPr="005B1485" w:rsidP="005B1485">
      <w:pPr>
        <w:pStyle w:val="ListBullet2"/>
      </w:pPr>
      <w:r w:rsidRPr="005B1485">
        <w:t>leak detection testing</w:t>
      </w:r>
    </w:p>
    <w:p w:rsidR="00000000" w:rsidRPr="005B1485" w:rsidP="005B1485">
      <w:pPr>
        <w:pStyle w:val="ListBullet2"/>
      </w:pPr>
      <w:r w:rsidRPr="005B1485">
        <w:t>selecting correct valve and components to suit container and agent requirements</w:t>
      </w:r>
    </w:p>
    <w:p w:rsidR="00000000" w:rsidRPr="005B1485" w:rsidP="005B1485">
      <w:pPr>
        <w:pStyle w:val="ListBullet2"/>
      </w:pPr>
      <w:r w:rsidRPr="005B1485">
        <w:t>recovering and reclaiming ODS and SGG materials from containers</w:t>
      </w:r>
    </w:p>
    <w:p w:rsidR="00000000" w:rsidRPr="005B1485" w:rsidP="005B1485">
      <w:pPr>
        <w:pStyle w:val="ListBullet"/>
      </w:pPr>
      <w:r w:rsidRPr="005B1485">
        <w:t>reaso</w:t>
      </w:r>
      <w:r w:rsidRPr="005B1485">
        <w:t>ns and methods for preventing ODS and SGG emissions in the workplace</w:t>
      </w:r>
    </w:p>
    <w:p w:rsidR="00000000" w:rsidRPr="005B1485" w:rsidP="005B1485">
      <w:pPr>
        <w:pStyle w:val="ListBullet"/>
      </w:pPr>
      <w:r w:rsidRPr="005B1485">
        <w:t>types of:</w:t>
      </w:r>
    </w:p>
    <w:p w:rsidR="00000000" w:rsidRPr="005B1485" w:rsidP="005B1485">
      <w:pPr>
        <w:pStyle w:val="ListBullet2"/>
      </w:pPr>
      <w:r w:rsidRPr="005B1485">
        <w:t>containers used for ODS and SGG materials</w:t>
      </w:r>
    </w:p>
    <w:p w:rsidR="00000000" w:rsidRPr="005B1485" w:rsidP="005B1485">
      <w:pPr>
        <w:pStyle w:val="ListBullet2"/>
      </w:pPr>
      <w:r w:rsidRPr="005B1485">
        <w:t>materials found in ODS and SGG containers</w:t>
      </w:r>
    </w:p>
    <w:p w:rsidR="00000000" w:rsidRPr="005B1485" w:rsidP="005B1485">
      <w:pPr>
        <w:pStyle w:val="ListBullet2"/>
      </w:pPr>
      <w:r w:rsidRPr="005B1485">
        <w:t>sealants suitable for different gaseous agents</w:t>
      </w:r>
    </w:p>
    <w:p w:rsidR="00000000" w:rsidRPr="005B1485" w:rsidP="005B1485">
      <w:pPr>
        <w:pStyle w:val="ListBullet2"/>
      </w:pPr>
      <w:r w:rsidRPr="005B1485">
        <w:t>transport caps, labels, numbers and c</w:t>
      </w:r>
      <w:r w:rsidRPr="005B1485">
        <w:t>odes used on containers containing ODS and SGG materials</w:t>
      </w:r>
    </w:p>
    <w:p w:rsidR="00000000" w:rsidRPr="005B1485" w:rsidP="005B1485">
      <w:pPr>
        <w:pStyle w:val="ListBullet"/>
      </w:pPr>
      <w:r w:rsidRPr="005B1485">
        <w:t>types and purpose of tools and equipment used when recovering and reclaiming ODS and SGG extinguishing agents and filling containers:</w:t>
      </w:r>
    </w:p>
    <w:p w:rsidR="00000000" w:rsidRPr="005B1485" w:rsidP="005B1485">
      <w:pPr>
        <w:pStyle w:val="ListBullet2"/>
      </w:pPr>
      <w:r w:rsidRPr="005B1485">
        <w:t>leak detection devices</w:t>
      </w:r>
    </w:p>
    <w:p w:rsidR="00000000" w:rsidRPr="005B1485" w:rsidP="005B1485">
      <w:pPr>
        <w:pStyle w:val="ListBullet2"/>
      </w:pPr>
      <w:r w:rsidRPr="005B1485">
        <w:t>manual-handling aids</w:t>
      </w:r>
    </w:p>
    <w:p w:rsidR="00000000" w:rsidRPr="005B1485" w:rsidP="005B1485">
      <w:pPr>
        <w:pStyle w:val="ListBullet2"/>
      </w:pPr>
      <w:r w:rsidRPr="005B1485">
        <w:t>processing and pres</w:t>
      </w:r>
      <w:r w:rsidRPr="005B1485">
        <w:t>surising equipment</w:t>
      </w:r>
    </w:p>
    <w:p w:rsidR="00000000" w:rsidRPr="005B1485" w:rsidP="005B1485">
      <w:pPr>
        <w:pStyle w:val="ListBullet2"/>
      </w:pPr>
      <w:r w:rsidRPr="005B1485">
        <w:t>personal protective equipment (PPE)</w:t>
      </w:r>
    </w:p>
    <w:p w:rsidR="00000000" w:rsidRPr="005B1485" w:rsidP="005B1485">
      <w:pPr>
        <w:pStyle w:val="ListBullet2"/>
      </w:pPr>
      <w:r w:rsidRPr="005B1485">
        <w:t>scales</w:t>
      </w:r>
    </w:p>
    <w:p w:rsidR="00000000" w:rsidRPr="005B1485" w:rsidP="005B1485">
      <w:pPr>
        <w:pStyle w:val="ListBullet"/>
      </w:pPr>
      <w:r w:rsidRPr="005B1485">
        <w:t>workplace requirements for conducting recovery, reclaim and fill operations for scheduled gaseous fire-extinguishing agents:</w:t>
      </w:r>
    </w:p>
    <w:p w:rsidR="00000000" w:rsidRPr="005B1485" w:rsidP="005B1485">
      <w:pPr>
        <w:pStyle w:val="ListBullet2"/>
      </w:pPr>
      <w:r w:rsidRPr="005B1485">
        <w:t>maintenance of tools and equipment</w:t>
      </w:r>
    </w:p>
    <w:p w:rsidR="00000000" w:rsidRPr="005B1485" w:rsidP="005B1485">
      <w:pPr>
        <w:pStyle w:val="ListBullet2"/>
      </w:pPr>
      <w:r w:rsidRPr="005B1485">
        <w:t>WHS, including hazard and risk i</w:t>
      </w:r>
      <w:r w:rsidRPr="005B1485">
        <w:t>dentification and control.</w:t>
      </w:r>
    </w:p>
    <w:p w:rsidR="00000000" w:rsidRPr="005B1485" w:rsidP="005B1485">
      <w:pPr>
        <w:pStyle w:val="AllowPageBreak"/>
      </w:pPr>
    </w:p>
    <w:p w:rsidR="00000000" w:rsidRPr="005B1485" w:rsidP="005B1485">
      <w:pPr>
        <w:pStyle w:val="Heading1"/>
      </w:pPr>
      <w:bookmarkStart w:id="4" w:name="O_1163639"/>
      <w:bookmarkEnd w:id="4"/>
      <w:r w:rsidRPr="005B1485">
        <w:t>Assessment Conditions</w:t>
      </w:r>
    </w:p>
    <w:p w:rsidR="00000000" w:rsidRPr="005B1485" w:rsidP="00C035A1">
      <w:pPr>
        <w:pStyle w:val="BodyText"/>
      </w:pPr>
      <w:r w:rsidRPr="005B1485">
        <w:t xml:space="preserve">Assessors must meet the requirements for assessors contained in the Standards for Registered Training Organisations. </w:t>
      </w:r>
    </w:p>
    <w:p w:rsidR="00000000" w:rsidRPr="005B1485" w:rsidP="00C035A1">
      <w:pPr>
        <w:pStyle w:val="BodyText"/>
      </w:pPr>
      <w:r w:rsidRPr="005B1485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5B1485" w:rsidP="00C035A1">
      <w:pPr>
        <w:pStyle w:val="BodyText"/>
      </w:pPr>
      <w:r w:rsidRPr="005B1485">
        <w:t>Candidates must have access to documentation, tool</w:t>
      </w:r>
      <w:r w:rsidRPr="005B1485">
        <w:t>s, equipment and containers required to achieve the performance evidence.</w:t>
      </w:r>
    </w:p>
    <w:p w:rsidR="00000000" w:rsidRPr="005B1485" w:rsidP="005B1485">
      <w:pPr>
        <w:pStyle w:val="Heading1"/>
      </w:pPr>
      <w:bookmarkStart w:id="5" w:name="O_1163637"/>
      <w:bookmarkEnd w:id="5"/>
      <w:r w:rsidRPr="005B1485">
        <w:t>Links</w:t>
      </w:r>
    </w:p>
    <w:p w:rsidR="00000000" w:rsidRPr="005B1485" w:rsidP="00C035A1">
      <w:pPr>
        <w:pStyle w:val="BodyText"/>
      </w:pPr>
      <w:r w:rsidRPr="005B148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2415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B1485" w:rsidP="005B1485"/>
    <w:sectPr w:rsidSect="005B14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85" w:rsidRPr="00C035A1" w:rsidP="00C035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5A1" w:rsidP="005B1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35A1" w:rsidP="005B1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035A1" w:rsidP="005B14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5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485" w:rsidRPr="00C035A1" w:rsidP="00C035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5A1" w:rsidRPr="002D2AF8" w:rsidP="005B1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CPPFES2049 Conduct recovery, reclaim and fill operations for scheduled gaseous fire-extinguishing agents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035A1" w:rsidP="005B1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328B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848F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E67E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485"/>
  </w:style>
  <w:style w:type="character" w:customStyle="1" w:styleId="Heading1Char">
    <w:name w:val="Heading 1 Char"/>
    <w:basedOn w:val="DefaultParagraphFont"/>
    <w:link w:val="Heading1"/>
    <w:rsid w:val="005B1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4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4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14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14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14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1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4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4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4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1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1485"/>
    <w:rPr>
      <w:b/>
      <w:spacing w:val="0"/>
    </w:rPr>
  </w:style>
  <w:style w:type="paragraph" w:customStyle="1" w:styleId="SuperTitle">
    <w:name w:val="SuperTitle"/>
    <w:basedOn w:val="Title"/>
    <w:rsid w:val="005B1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1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4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1485"/>
    <w:rPr>
      <w:i/>
    </w:rPr>
  </w:style>
  <w:style w:type="paragraph" w:styleId="Caption">
    <w:name w:val="caption"/>
    <w:basedOn w:val="BodyText"/>
    <w:next w:val="Normal"/>
    <w:qFormat/>
    <w:rsid w:val="005B1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485"/>
  </w:style>
  <w:style w:type="paragraph" w:styleId="TableofFigures">
    <w:name w:val="table of figures"/>
    <w:basedOn w:val="Normal"/>
    <w:next w:val="Normal"/>
    <w:semiHidden/>
    <w:rsid w:val="005B1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4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1485"/>
    <w:rPr>
      <w:rFonts w:ascii="Wingdings" w:hAnsi="Wingdings"/>
    </w:rPr>
  </w:style>
  <w:style w:type="paragraph" w:customStyle="1" w:styleId="TableHeading">
    <w:name w:val="Table Heading"/>
    <w:basedOn w:val="HeadingBase"/>
    <w:rsid w:val="005B1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485"/>
    <w:rPr>
      <w:color w:val="0033CC"/>
      <w:u w:val="none"/>
    </w:rPr>
  </w:style>
  <w:style w:type="paragraph" w:customStyle="1" w:styleId="BodyTextRight">
    <w:name w:val="Body Text Right"/>
    <w:basedOn w:val="BodyText"/>
    <w:rsid w:val="005B1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4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485"/>
    <w:rPr>
      <w:sz w:val="32"/>
    </w:rPr>
  </w:style>
  <w:style w:type="paragraph" w:customStyle="1" w:styleId="HeadingProcedure">
    <w:name w:val="Heading Procedure"/>
    <w:basedOn w:val="HeadingBase"/>
    <w:next w:val="Normal"/>
    <w:rsid w:val="005B1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485"/>
    <w:pPr>
      <w:spacing w:before="60" w:after="60"/>
    </w:pPr>
  </w:style>
  <w:style w:type="paragraph" w:styleId="ListContinue">
    <w:name w:val="List Continue"/>
    <w:basedOn w:val="List"/>
    <w:rsid w:val="005B1485"/>
    <w:pPr>
      <w:ind w:firstLine="0"/>
    </w:pPr>
  </w:style>
  <w:style w:type="paragraph" w:customStyle="1" w:styleId="ListNote">
    <w:name w:val="List Note"/>
    <w:basedOn w:val="List"/>
    <w:rsid w:val="005B1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485"/>
    <w:rPr>
      <w:rFonts w:ascii="Courier New" w:hAnsi="Courier New"/>
    </w:rPr>
  </w:style>
  <w:style w:type="paragraph" w:customStyle="1" w:styleId="NoteBullet">
    <w:name w:val="Note Bullet"/>
    <w:basedOn w:val="Note"/>
    <w:rsid w:val="005B1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4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1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485"/>
    <w:rPr>
      <w:b/>
      <w:smallCaps/>
    </w:rPr>
  </w:style>
  <w:style w:type="paragraph" w:customStyle="1" w:styleId="TableListNumber">
    <w:name w:val="Table List Number"/>
    <w:basedOn w:val="ListNumber"/>
    <w:rsid w:val="005B1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485"/>
    <w:pPr>
      <w:numPr>
        <w:numId w:val="9"/>
      </w:numPr>
    </w:pPr>
  </w:style>
  <w:style w:type="paragraph" w:customStyle="1" w:styleId="ListAlpha2">
    <w:name w:val="List Alpha 2"/>
    <w:basedOn w:val="List2"/>
    <w:rsid w:val="005B1485"/>
    <w:pPr>
      <w:numPr>
        <w:numId w:val="8"/>
      </w:numPr>
    </w:pPr>
  </w:style>
  <w:style w:type="paragraph" w:styleId="List2">
    <w:name w:val="List 2"/>
    <w:basedOn w:val="BodyText"/>
    <w:rsid w:val="005B1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4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4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4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1485"/>
    <w:pPr>
      <w:numPr>
        <w:numId w:val="4"/>
      </w:numPr>
    </w:pPr>
  </w:style>
  <w:style w:type="paragraph" w:styleId="ListContinue2">
    <w:name w:val="List Continue 2"/>
    <w:basedOn w:val="List2"/>
    <w:rsid w:val="005B1485"/>
    <w:pPr>
      <w:ind w:firstLine="0"/>
    </w:pPr>
  </w:style>
  <w:style w:type="paragraph" w:styleId="ListContinue3">
    <w:name w:val="List Continue 3"/>
    <w:basedOn w:val="List3"/>
    <w:rsid w:val="005B1485"/>
    <w:pPr>
      <w:ind w:left="1021" w:firstLine="0"/>
    </w:pPr>
  </w:style>
  <w:style w:type="paragraph" w:styleId="ListContinue4">
    <w:name w:val="List Continue 4"/>
    <w:basedOn w:val="List4"/>
    <w:rsid w:val="005B1485"/>
    <w:pPr>
      <w:ind w:firstLine="0"/>
    </w:pPr>
  </w:style>
  <w:style w:type="paragraph" w:styleId="ListContinue5">
    <w:name w:val="List Continue 5"/>
    <w:basedOn w:val="List5"/>
    <w:rsid w:val="005B1485"/>
    <w:pPr>
      <w:ind w:firstLine="0"/>
    </w:pPr>
  </w:style>
  <w:style w:type="paragraph" w:styleId="ListNumber3">
    <w:name w:val="List Number 3"/>
    <w:basedOn w:val="List3"/>
    <w:rsid w:val="005B1485"/>
    <w:pPr>
      <w:numPr>
        <w:numId w:val="5"/>
      </w:numPr>
    </w:pPr>
  </w:style>
  <w:style w:type="paragraph" w:styleId="ListNumber4">
    <w:name w:val="List Number 4"/>
    <w:basedOn w:val="List4"/>
    <w:rsid w:val="005B1485"/>
    <w:pPr>
      <w:numPr>
        <w:numId w:val="6"/>
      </w:numPr>
    </w:pPr>
  </w:style>
  <w:style w:type="paragraph" w:styleId="ListNumber5">
    <w:name w:val="List Number 5"/>
    <w:basedOn w:val="List5"/>
    <w:rsid w:val="005B1485"/>
    <w:pPr>
      <w:numPr>
        <w:numId w:val="7"/>
      </w:numPr>
    </w:pPr>
  </w:style>
  <w:style w:type="paragraph" w:styleId="BlockText">
    <w:name w:val="Block Text"/>
    <w:basedOn w:val="Normal"/>
    <w:rsid w:val="005B1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485"/>
    <w:rPr>
      <w:sz w:val="16"/>
      <w:vertAlign w:val="superscript"/>
    </w:rPr>
  </w:style>
  <w:style w:type="character" w:customStyle="1" w:styleId="Symbols">
    <w:name w:val="Symbols"/>
    <w:basedOn w:val="DefaultParagraphFont"/>
    <w:rsid w:val="005B1485"/>
    <w:rPr>
      <w:rFonts w:ascii="Symbol" w:hAnsi="Symbol"/>
    </w:rPr>
  </w:style>
  <w:style w:type="character" w:customStyle="1" w:styleId="MenuOptions">
    <w:name w:val="Menu Options"/>
    <w:basedOn w:val="DefaultParagraphFont"/>
    <w:rsid w:val="005B1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485"/>
    <w:rPr>
      <w:b/>
    </w:rPr>
  </w:style>
  <w:style w:type="character" w:customStyle="1" w:styleId="Underlined">
    <w:name w:val="Underlined"/>
    <w:basedOn w:val="DefaultParagraphFont"/>
    <w:rsid w:val="005B1485"/>
    <w:rPr>
      <w:u w:val="single"/>
    </w:rPr>
  </w:style>
  <w:style w:type="paragraph" w:customStyle="1" w:styleId="TableBodyTextRight">
    <w:name w:val="Table Body Text Right"/>
    <w:basedOn w:val="TableBodyText"/>
    <w:rsid w:val="005B1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485"/>
    <w:rPr>
      <w:sz w:val="18"/>
    </w:rPr>
  </w:style>
  <w:style w:type="paragraph" w:customStyle="1" w:styleId="BodySmallRight">
    <w:name w:val="Body Small Right"/>
    <w:basedOn w:val="BodyTextRight"/>
    <w:rsid w:val="005B1485"/>
    <w:rPr>
      <w:sz w:val="18"/>
      <w:szCs w:val="18"/>
    </w:rPr>
  </w:style>
  <w:style w:type="paragraph" w:customStyle="1" w:styleId="MarginEdition">
    <w:name w:val="Margin Edition"/>
    <w:basedOn w:val="MarginNote"/>
    <w:rsid w:val="005B1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485"/>
    <w:rPr>
      <w:sz w:val="2"/>
      <w:szCs w:val="2"/>
    </w:rPr>
  </w:style>
  <w:style w:type="character" w:customStyle="1" w:styleId="Small">
    <w:name w:val="Small"/>
    <w:basedOn w:val="DefaultParagraphFont"/>
    <w:rsid w:val="005B1485"/>
    <w:rPr>
      <w:sz w:val="16"/>
    </w:rPr>
  </w:style>
  <w:style w:type="paragraph" w:customStyle="1" w:styleId="WideTable">
    <w:name w:val="Wide Table"/>
    <w:basedOn w:val="Normal"/>
    <w:rsid w:val="005B1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485"/>
  </w:style>
  <w:style w:type="paragraph" w:styleId="Quote">
    <w:name w:val="Quote"/>
    <w:basedOn w:val="Heading1"/>
    <w:link w:val="QuoteChar"/>
    <w:qFormat/>
    <w:rsid w:val="005B1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485"/>
    <w:pPr>
      <w:pageBreakBefore/>
    </w:pPr>
  </w:style>
  <w:style w:type="paragraph" w:customStyle="1" w:styleId="Border">
    <w:name w:val="Border"/>
    <w:basedOn w:val="Normal"/>
    <w:qFormat/>
    <w:rsid w:val="005B1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485"/>
    <w:rPr>
      <w:u w:val="single"/>
    </w:rPr>
  </w:style>
  <w:style w:type="character" w:customStyle="1" w:styleId="BoldandItalics">
    <w:name w:val="Bold and Italics"/>
    <w:qFormat/>
    <w:rsid w:val="005B1485"/>
    <w:rPr>
      <w:b/>
      <w:i/>
      <w:u w:val="none"/>
    </w:rPr>
  </w:style>
  <w:style w:type="paragraph" w:styleId="BalloonText">
    <w:name w:val="Balloon Text"/>
    <w:basedOn w:val="Normal"/>
    <w:link w:val="BalloonTextChar"/>
    <w:rsid w:val="005B1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4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4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485"/>
    <w:pPr>
      <w:spacing w:before="0" w:after="0"/>
    </w:pPr>
  </w:style>
  <w:style w:type="paragraph" w:customStyle="1" w:styleId="BodyTextBold">
    <w:name w:val="Body Text Bold"/>
    <w:basedOn w:val="BodyText"/>
    <w:qFormat/>
    <w:rsid w:val="005B1485"/>
    <w:rPr>
      <w:b/>
    </w:rPr>
  </w:style>
  <w:style w:type="character" w:styleId="Hyperlink">
    <w:name w:val="Hyperlink"/>
    <w:basedOn w:val="DefaultParagraphFont"/>
    <w:uiPriority w:val="99"/>
    <w:unhideWhenUsed/>
    <w:rsid w:val="00C035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3345</Characters>
  <Application>Microsoft Office Word</Application>
  <DocSecurity>0</DocSecurity>
  <Lines>81</Lines>
  <Paragraphs>55</Paragraphs>
  <ScaleCrop>false</ScaleCrop>
  <Company>Author-it Software Corporation Ltd.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CPPFES2049 Conduct recovery, reclaim and fill operations for scheduled gaseous fire-extinguishing agents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2022-12-19T05:54:00Z</dcterms:created>
  <dcterms:modified xsi:type="dcterms:W3CDTF">2022-12-19T05:54:00Z</dcterms:modified>
</cp:coreProperties>
</file>