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79A" w:rsidP="001F2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CPPFES2048 Receive and dispatch scheduled gaseous fire-extinguishing agents</w:t>
      </w:r>
      <w:r>
        <w:fldChar w:fldCharType="end"/>
      </w:r>
    </w:p>
    <w:p w:rsidR="001F279A" w:rsidP="001F279A">
      <w:pPr>
        <w:pStyle w:val="Version"/>
        <w:sectPr w:rsidSect="004D1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821" w:rsidP="004D1821">
      <w:pPr>
        <w:pStyle w:val="SuperHeading"/>
      </w:pPr>
      <w:r w:rsidRPr="004D1821">
        <w:t>CPPFES2048 Receive and dispatch scheduled gaseous fire-extinguishing agents</w:t>
      </w:r>
    </w:p>
    <w:p w:rsidR="00000000" w:rsidRPr="004D1821" w:rsidP="004D1821">
      <w:pPr>
        <w:pStyle w:val="Heading1"/>
      </w:pPr>
      <w:bookmarkStart w:id="1" w:name="O_1163625"/>
      <w:bookmarkEnd w:id="1"/>
      <w:r w:rsidRPr="004D18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821" w:rsidP="004D1821">
            <w:pPr>
              <w:pStyle w:val="BodyText"/>
            </w:pPr>
            <w:r w:rsidRPr="004D1821">
              <w:t>This version first released with CPP Property Services Training Package Release 13.0.</w:t>
            </w:r>
          </w:p>
          <w:p w:rsidR="00000000" w:rsidRPr="004D1821" w:rsidP="004D1821">
            <w:pPr>
              <w:pStyle w:val="BodyText"/>
            </w:pPr>
            <w:r w:rsidRPr="004D1821">
              <w:t>Supersedes and is equivalent to CPPFES2048A Receive and dispatch scheduled gaseous fire-extinguishing agents.  Unit updated to meet the Standards for Training Packages 2012.</w:t>
            </w:r>
          </w:p>
        </w:tc>
      </w:tr>
    </w:tbl>
    <w:p w:rsidR="00000000" w:rsidRPr="004D1821" w:rsidP="004D1821">
      <w:pPr>
        <w:pStyle w:val="BodyText"/>
      </w:pPr>
    </w:p>
    <w:p w:rsidR="00000000" w:rsidRPr="004D1821" w:rsidP="004D1821">
      <w:pPr>
        <w:pStyle w:val="AllowPageBreak"/>
      </w:pPr>
    </w:p>
    <w:p w:rsidR="00000000" w:rsidRPr="004D1821" w:rsidP="004D1821">
      <w:pPr>
        <w:pStyle w:val="Heading1"/>
      </w:pPr>
      <w:bookmarkStart w:id="2" w:name="O_1163631"/>
      <w:bookmarkEnd w:id="2"/>
      <w:r w:rsidRPr="004D1821">
        <w:t>Application</w:t>
      </w:r>
    </w:p>
    <w:p w:rsidR="00000000" w:rsidRPr="004D1821" w:rsidP="001F279A">
      <w:pPr>
        <w:pStyle w:val="BodyText"/>
      </w:pPr>
      <w:r w:rsidRPr="004D1821">
        <w:t xml:space="preserve">This unit of competency specifies the skills and </w:t>
      </w:r>
      <w:r w:rsidRPr="004D1821">
        <w:t>knowledge required to receive and dispatch containers of ozone depleting substances (ODS) and synthetic greenhouse gases (SGG).</w:t>
      </w:r>
    </w:p>
    <w:p w:rsidR="00000000" w:rsidRPr="004D1821" w:rsidP="001F279A">
      <w:pPr>
        <w:pStyle w:val="BodyText"/>
      </w:pPr>
      <w:r w:rsidRPr="004D1821">
        <w:t>The unit is suitable for those with basic skills and knowledge undertaking routine work tasks under the direction of more experi</w:t>
      </w:r>
      <w:r w:rsidRPr="004D1821">
        <w:t>enced workers.</w:t>
      </w:r>
    </w:p>
    <w:p w:rsidR="00000000" w:rsidRPr="004D1821" w:rsidP="001F279A">
      <w:pPr>
        <w:pStyle w:val="BodyText"/>
      </w:pPr>
      <w:r w:rsidRPr="004D1821">
        <w:t>ODS and SGG are gaseous fire-extinguishing agents listed in Schedule 1 of the Ozone Protection and Synthetic Greenhouse Gas Management Act 1989 and by law, can only be handled by people who hold an appropriate extinguishing agent handling li</w:t>
      </w:r>
      <w:r w:rsidRPr="004D1821">
        <w:t>cence (EAHL). This unit supports one or more EAHLs prescribed under the Act. For further information, check with the relevant regulatory authority.</w:t>
      </w:r>
    </w:p>
    <w:p w:rsidR="00000000" w:rsidRPr="004D1821" w:rsidP="004D1821">
      <w:pPr>
        <w:pStyle w:val="Heading1"/>
      </w:pPr>
      <w:bookmarkStart w:id="3" w:name="O_1163630"/>
      <w:bookmarkEnd w:id="3"/>
      <w:r w:rsidRPr="004D1821">
        <w:t>Pre-requisite Unit</w:t>
      </w:r>
    </w:p>
    <w:p w:rsidR="00000000" w:rsidRPr="004D1821" w:rsidP="001F279A">
      <w:pPr>
        <w:pStyle w:val="BodyText"/>
      </w:pPr>
      <w:r w:rsidRPr="004D1821">
        <w:t>Nil.</w:t>
      </w:r>
    </w:p>
    <w:p w:rsidR="00000000" w:rsidRPr="004D1821" w:rsidP="004D1821">
      <w:pPr>
        <w:pStyle w:val="Heading1"/>
      </w:pPr>
      <w:bookmarkStart w:id="4" w:name="O_1163629"/>
      <w:bookmarkEnd w:id="4"/>
      <w:r w:rsidRPr="004D1821">
        <w:t>Unit Sector</w:t>
      </w:r>
    </w:p>
    <w:p w:rsidR="00000000" w:rsidRPr="004D1821" w:rsidP="001F279A">
      <w:pPr>
        <w:pStyle w:val="BodyText"/>
      </w:pPr>
      <w:r w:rsidRPr="004D1821">
        <w:t>Fire Protection Inspection and Tes</w:t>
      </w:r>
      <w:r w:rsidRPr="004D1821">
        <w:t>ting</w:t>
      </w:r>
    </w:p>
    <w:p w:rsidR="00000000" w:rsidRPr="004D1821" w:rsidP="004D1821">
      <w:pPr>
        <w:pStyle w:val="Heading1"/>
      </w:pPr>
      <w:bookmarkStart w:id="5" w:name="O_1163628"/>
      <w:bookmarkEnd w:id="5"/>
      <w:r w:rsidRPr="004D18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Performance criteria describe what needs to be done to demonstrate achievement of the element.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 xml:space="preserve">Plan and prepare to receive and dispatch ODS and SGG </w:t>
            </w:r>
            <w:r w:rsidRPr="004D1821">
              <w:t>containers.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Read work instructions to determine types and numbers of ODS and SGG containers and requirements for their storage and handling.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Plan work activities to prevent ODS and SGG emissio</w:t>
            </w:r>
            <w:r w:rsidRPr="004D1821">
              <w:t>ns and comply with relevant Australian Standards, regulations, work health and safety (WHS) and workplace requirements.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Identify potential and actual breaches of rules and regulations associated with work instructions and take required action to ensure compliance according to regulatory and workplace requirements.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Select and use required tools and equipment, includin</w:t>
            </w:r>
            <w:r w:rsidRPr="004D1821">
              <w:t>g personal protective equipment (PPE).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Identify and prepare to control hazards in the work area according to workplace requirements.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Inspect and receive ODS and SGG containers.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Check and verify containers and labels against consignment documentation, and record and report identified discrepancies.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Weigh containers and record mass.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Receive containers and complete documentation according to workplace requirements.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Classify received ODS and SGG containers.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Identify types of ODS and SGG containers and their contents.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Check containers to identify defects and condemn unusable containers.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Label,</w:t>
            </w:r>
            <w:r w:rsidRPr="004D1821">
              <w:t xml:space="preserve"> isolate and make safe condemned containers according to workplace requirements.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Complete container classification records according to workplace requirements.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Safely handle and store ODS and SGG containers.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Identify safe working loads and select manual-handling techniques, aids and movement paths for ODS and SGG containers.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Use safe manual-handling techniques to unload, unpack, move and store containers to meet work instructions and storage require</w:t>
            </w:r>
            <w:r w:rsidRPr="004D1821">
              <w:t xml:space="preserve">ments, and seek assistance as required to </w:t>
            </w:r>
            <w:r w:rsidRPr="004D1821">
              <w:t>maintain safety while handling and storing containers.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Record container movement and storage details according to workplace requirements.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Dispatch ODS or SGG containers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Check containers to confirm compliance with regulatory requirements for transport and storage.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Store containers securely in readiness for dispatch according to regulatory and workplace requirements.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Perform leak detection tests on stored containers to identify leaks according to workplace requirements.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Report identified leaks and make containers safe according to workplace requirements.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Load and secure containers on transport vehicles ac</w:t>
            </w:r>
            <w:r w:rsidRPr="004D1821">
              <w:t>cording to regulatory and workplace requirements.</w:t>
            </w:r>
          </w:p>
        </w:tc>
      </w:tr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821" w:rsidP="004D1821">
            <w:pPr>
              <w:pStyle w:val="BodyText"/>
            </w:pPr>
            <w:r w:rsidRPr="004D1821">
              <w:t>Complete documentation according to regulatory and workplace requirements.</w:t>
            </w:r>
          </w:p>
        </w:tc>
      </w:tr>
    </w:tbl>
    <w:p w:rsidR="00000000" w:rsidRPr="004D1821" w:rsidP="004D1821">
      <w:pPr>
        <w:pStyle w:val="BodyText"/>
      </w:pPr>
    </w:p>
    <w:p w:rsidR="00000000" w:rsidRPr="004D1821" w:rsidP="004D1821">
      <w:pPr>
        <w:pStyle w:val="AllowPageBreak"/>
      </w:pPr>
    </w:p>
    <w:p w:rsidR="00000000" w:rsidRPr="004D1821" w:rsidP="004D1821">
      <w:pPr>
        <w:pStyle w:val="Heading1"/>
      </w:pPr>
      <w:bookmarkStart w:id="6" w:name="O_1163627"/>
      <w:bookmarkEnd w:id="6"/>
      <w:r w:rsidRPr="004D1821">
        <w:t>Foundation Skills</w:t>
      </w:r>
    </w:p>
    <w:p w:rsidR="00000000" w:rsidRPr="004D1821" w:rsidP="001F279A">
      <w:pPr>
        <w:pStyle w:val="BodyText"/>
      </w:pPr>
      <w:r w:rsidRPr="004D1821">
        <w:t>Foundation skills essential to performance are explicit in the performance criteria of this unit of competency.</w:t>
      </w:r>
    </w:p>
    <w:p w:rsidR="00000000" w:rsidRPr="004D1821" w:rsidP="004D1821">
      <w:pPr>
        <w:pStyle w:val="Heading1"/>
      </w:pPr>
      <w:bookmarkStart w:id="7" w:name="O_1163626"/>
      <w:bookmarkEnd w:id="7"/>
      <w:r w:rsidRPr="004D1821">
        <w:t>Unit Mapping Information</w:t>
      </w:r>
    </w:p>
    <w:p w:rsidR="00000000" w:rsidRPr="004D1821" w:rsidP="001F279A">
      <w:pPr>
        <w:pStyle w:val="BodyText"/>
      </w:pPr>
      <w:r w:rsidRPr="004D1821">
        <w:t>Supersedes and is equivalent to CPPFES2048A Receive and dispatch scheduled gaseous fire-extinguishin</w:t>
      </w:r>
      <w:r w:rsidRPr="004D1821">
        <w:t>g agents.</w:t>
      </w:r>
    </w:p>
    <w:p w:rsidR="00000000" w:rsidRPr="004D1821" w:rsidP="004D1821">
      <w:pPr>
        <w:pStyle w:val="Heading1"/>
      </w:pPr>
      <w:bookmarkStart w:id="8" w:name="O_1163619"/>
      <w:bookmarkEnd w:id="8"/>
      <w:r w:rsidRPr="004D1821">
        <w:t>Links</w:t>
      </w:r>
    </w:p>
    <w:p w:rsidR="00000000" w:rsidRPr="004D1821" w:rsidP="001F279A">
      <w:pPr>
        <w:pStyle w:val="BodyText"/>
      </w:pPr>
      <w:r w:rsidRPr="004D182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72CB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D1821" w:rsidP="001F279A">
      <w:pPr>
        <w:pStyle w:val="BodyText"/>
        <w:sectPr w:rsidSect="004D18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1821" w:rsidP="004D1821">
      <w:pPr>
        <w:pStyle w:val="SuperHeading"/>
      </w:pPr>
      <w:r w:rsidRPr="004D1821">
        <w:t>Assessme</w:t>
      </w:r>
      <w:r w:rsidRPr="004D1821">
        <w:t>nt Requirements for CPPFES2048 Receive and dispatch scheduled gaseous fire-extinguishing agents</w:t>
      </w:r>
    </w:p>
    <w:p w:rsidR="00000000" w:rsidRPr="004D1821" w:rsidP="004D1821">
      <w:pPr>
        <w:pStyle w:val="Heading1"/>
      </w:pPr>
      <w:bookmarkStart w:id="9" w:name="O_1163621"/>
      <w:bookmarkEnd w:id="9"/>
      <w:r w:rsidRPr="004D18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4D1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21">
            <w:pPr>
              <w:pStyle w:val="BodyText"/>
              <w:rPr>
                <w:lang w:val="en-NZ"/>
              </w:rPr>
            </w:pPr>
            <w:r w:rsidRPr="004D1821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821" w:rsidP="004D1821">
            <w:pPr>
              <w:pStyle w:val="BodyText"/>
            </w:pPr>
            <w:r w:rsidRPr="004D1821">
              <w:t>This version first released with CPP Property Services Training Package Release 13.0.</w:t>
            </w:r>
          </w:p>
          <w:p w:rsidR="00000000" w:rsidRPr="004D1821" w:rsidP="004D1821">
            <w:pPr>
              <w:pStyle w:val="BodyText"/>
            </w:pPr>
            <w:r w:rsidRPr="004D1821">
              <w:t>Supersedes and is equival</w:t>
            </w:r>
            <w:r w:rsidRPr="004D1821">
              <w:t>ent to CPPFES2048A Receive and dispatch scheduled gaseous fire-extinguishing agents.  Unit updated to meet the Standards for Training Packages 2012.</w:t>
            </w:r>
          </w:p>
        </w:tc>
      </w:tr>
    </w:tbl>
    <w:p w:rsidR="00000000" w:rsidRPr="004D1821" w:rsidP="004D1821">
      <w:pPr>
        <w:pStyle w:val="BodyText"/>
      </w:pPr>
    </w:p>
    <w:p w:rsidR="00000000" w:rsidRPr="004D1821" w:rsidP="004D1821">
      <w:pPr>
        <w:pStyle w:val="AllowPageBreak"/>
      </w:pPr>
    </w:p>
    <w:p w:rsidR="00000000" w:rsidRPr="004D1821" w:rsidP="004D1821">
      <w:pPr>
        <w:pStyle w:val="Heading1"/>
      </w:pPr>
      <w:bookmarkStart w:id="10" w:name="O_1163624"/>
      <w:bookmarkEnd w:id="10"/>
      <w:r w:rsidRPr="004D1821">
        <w:t>Performance Evidence</w:t>
      </w:r>
    </w:p>
    <w:p w:rsidR="00000000" w:rsidRPr="004D1821" w:rsidP="001F279A">
      <w:pPr>
        <w:pStyle w:val="BodyText"/>
      </w:pPr>
      <w:r w:rsidRPr="004D1821">
        <w:t>To demonstrate competency, a candidate must meet the elements</w:t>
      </w:r>
      <w:r w:rsidRPr="004D1821">
        <w:t xml:space="preserve"> and performance criteria of this unit by receiving and dispatching scheduled gaseous fire-extinguishing agents on two separate occasions.</w:t>
      </w:r>
    </w:p>
    <w:p w:rsidR="00000000" w:rsidRPr="004D1821" w:rsidP="004D1821">
      <w:pPr>
        <w:pStyle w:val="Heading1"/>
      </w:pPr>
      <w:bookmarkStart w:id="11" w:name="O_1163623"/>
      <w:bookmarkEnd w:id="11"/>
      <w:r w:rsidRPr="004D1821">
        <w:t>Knowledge Evidence</w:t>
      </w:r>
    </w:p>
    <w:p w:rsidR="00000000" w:rsidRPr="004D1821" w:rsidP="001F279A">
      <w:pPr>
        <w:pStyle w:val="BodyText"/>
      </w:pPr>
      <w:r w:rsidRPr="004D1821">
        <w:t>To be competent in this unit, a candidate must demonstrate knowledge of:</w:t>
      </w:r>
    </w:p>
    <w:p w:rsidR="00000000" w:rsidRPr="004D1821" w:rsidP="004D1821">
      <w:pPr>
        <w:pStyle w:val="ListBullet"/>
      </w:pPr>
      <w:r w:rsidRPr="004D1821">
        <w:t>actio</w:t>
      </w:r>
      <w:r w:rsidRPr="004D1821">
        <w:t>n to take when a breach of regulation, work health and safety (WHS), ozone depleting substances (ODS) and synthetic greenhouse gases (SGG) or other policy occurs when receiving and dispatching scheduled gaseous fire-extinguishing agents</w:t>
      </w:r>
    </w:p>
    <w:p w:rsidR="00000000" w:rsidRPr="004D1821" w:rsidP="004D1821">
      <w:pPr>
        <w:pStyle w:val="ListBullet"/>
      </w:pPr>
      <w:r w:rsidRPr="004D1821">
        <w:t>dangerous goods mar</w:t>
      </w:r>
      <w:r w:rsidRPr="004D1821">
        <w:t>kings and requirements for securing and transporting scheduled gaseous fire-extinguishing agents</w:t>
      </w:r>
    </w:p>
    <w:p w:rsidR="00000000" w:rsidRPr="004D1821" w:rsidP="004D1821">
      <w:pPr>
        <w:pStyle w:val="ListBullet"/>
      </w:pPr>
      <w:r w:rsidRPr="004D1821">
        <w:t>handling and storage requirements for scheduled ODS and SGG in accordance with the Fire Protection Industry (ODS &amp;SGG) Board ODS &amp; SGG Good Practice Guide</w:t>
      </w:r>
    </w:p>
    <w:p w:rsidR="00000000" w:rsidRPr="004D1821" w:rsidP="004D1821">
      <w:pPr>
        <w:pStyle w:val="ListBullet"/>
      </w:pPr>
      <w:r w:rsidRPr="004D1821">
        <w:t>docu</w:t>
      </w:r>
      <w:r w:rsidRPr="004D1821">
        <w:t>mentation used to receive, classify, move, store and dispatch ODS and SGG containers</w:t>
      </w:r>
    </w:p>
    <w:p w:rsidR="00000000" w:rsidRPr="004D1821" w:rsidP="004D1821">
      <w:pPr>
        <w:pStyle w:val="ListBullet"/>
      </w:pPr>
      <w:r w:rsidRPr="004D1821">
        <w:t>key requirements of relevant regulations, Australian Standards and licensing associated with receiving and dispatching scheduled gaseous fire-extinguishing agents:</w:t>
      </w:r>
    </w:p>
    <w:p w:rsidR="00000000" w:rsidRPr="004D1821" w:rsidP="004D1821">
      <w:pPr>
        <w:pStyle w:val="ListBullet2"/>
      </w:pPr>
      <w:r w:rsidRPr="004D1821">
        <w:t>Austra</w:t>
      </w:r>
      <w:r w:rsidRPr="004D1821">
        <w:t>lian Dangerous Goods (ADG) Code requirements for road transport of class 2.2 substances</w:t>
      </w:r>
    </w:p>
    <w:p w:rsidR="00000000" w:rsidRPr="004D1821" w:rsidP="004D1821">
      <w:pPr>
        <w:pStyle w:val="ListBullet2"/>
      </w:pPr>
      <w:r w:rsidRPr="004D1821">
        <w:t>compliance records</w:t>
      </w:r>
    </w:p>
    <w:p w:rsidR="00000000" w:rsidRPr="004D1821" w:rsidP="004D1821">
      <w:pPr>
        <w:pStyle w:val="ListBullet2"/>
      </w:pPr>
      <w:r w:rsidRPr="004D1821">
        <w:t>extinguishing agent handling licence (EAHL) requirements</w:t>
      </w:r>
    </w:p>
    <w:p w:rsidR="00000000" w:rsidRPr="004D1821" w:rsidP="004D1821">
      <w:pPr>
        <w:pStyle w:val="ListBullet2"/>
      </w:pPr>
      <w:r w:rsidRPr="004D1821">
        <w:t>environmental protection</w:t>
      </w:r>
    </w:p>
    <w:p w:rsidR="00000000" w:rsidRPr="004D1821" w:rsidP="004D1821">
      <w:pPr>
        <w:pStyle w:val="ListBullet2"/>
      </w:pPr>
      <w:r w:rsidRPr="004D1821">
        <w:t>state and territory dangerous goods legislation relevant to storage of class 2.2 substances</w:t>
      </w:r>
    </w:p>
    <w:p w:rsidR="00000000" w:rsidRPr="004D1821" w:rsidP="004D1821">
      <w:pPr>
        <w:pStyle w:val="ListBullet2"/>
      </w:pPr>
      <w:r w:rsidRPr="004D1821">
        <w:t>storage and handling of gases in cylinders</w:t>
      </w:r>
    </w:p>
    <w:p w:rsidR="00000000" w:rsidRPr="004D1821" w:rsidP="004D1821">
      <w:pPr>
        <w:pStyle w:val="ListBullet"/>
      </w:pPr>
      <w:r w:rsidRPr="004D1821">
        <w:t>manual-handling techniques and aids to be used when receiving and dispatching ODS and SGG containers, and implications o</w:t>
      </w:r>
      <w:r w:rsidRPr="004D1821">
        <w:t>f:</w:t>
      </w:r>
    </w:p>
    <w:p w:rsidR="00000000" w:rsidRPr="004D1821" w:rsidP="004D1821">
      <w:pPr>
        <w:pStyle w:val="ListBullet2"/>
      </w:pPr>
      <w:r w:rsidRPr="004D1821">
        <w:t>ignoring safety precautions when using mechanical and manual-handling aids</w:t>
      </w:r>
    </w:p>
    <w:p w:rsidR="00000000" w:rsidRPr="004D1821" w:rsidP="004D1821">
      <w:pPr>
        <w:pStyle w:val="ListBullet2"/>
      </w:pPr>
      <w:r w:rsidRPr="004D1821">
        <w:t>using incorrect manual-lifting techniques</w:t>
      </w:r>
    </w:p>
    <w:p w:rsidR="00000000" w:rsidRPr="004D1821" w:rsidP="004D1821">
      <w:pPr>
        <w:pStyle w:val="ListBullet"/>
      </w:pPr>
      <w:r w:rsidRPr="004D1821">
        <w:t>methods used to:</w:t>
      </w:r>
    </w:p>
    <w:p w:rsidR="00000000" w:rsidRPr="004D1821" w:rsidP="004D1821">
      <w:pPr>
        <w:pStyle w:val="ListBullet2"/>
      </w:pPr>
      <w:r w:rsidRPr="004D1821">
        <w:t>isolate condemned containers</w:t>
      </w:r>
    </w:p>
    <w:p w:rsidR="00000000" w:rsidRPr="004D1821" w:rsidP="004D1821">
      <w:pPr>
        <w:pStyle w:val="ListBullet2"/>
      </w:pPr>
      <w:r w:rsidRPr="004D1821">
        <w:t>label condemned containers</w:t>
      </w:r>
    </w:p>
    <w:p w:rsidR="00000000" w:rsidRPr="004D1821" w:rsidP="004D1821">
      <w:pPr>
        <w:pStyle w:val="ListBullet2"/>
      </w:pPr>
      <w:r w:rsidRPr="004D1821">
        <w:t>make safe containers</w:t>
      </w:r>
    </w:p>
    <w:p w:rsidR="00000000" w:rsidRPr="004D1821" w:rsidP="004D1821">
      <w:pPr>
        <w:pStyle w:val="ListBullet2"/>
      </w:pPr>
      <w:r w:rsidRPr="004D1821">
        <w:t>prevent ODS and SGG emissions in the wo</w:t>
      </w:r>
      <w:r w:rsidRPr="004D1821">
        <w:t>rkplace</w:t>
      </w:r>
    </w:p>
    <w:p w:rsidR="00000000" w:rsidRPr="004D1821" w:rsidP="004D1821">
      <w:pPr>
        <w:pStyle w:val="ListBullet"/>
      </w:pPr>
      <w:r w:rsidRPr="004D1821">
        <w:t>principles and procedures related to receiving, classifying, moving, storing and dispatching stock</w:t>
      </w:r>
    </w:p>
    <w:p w:rsidR="00000000" w:rsidRPr="004D1821" w:rsidP="004D1821">
      <w:pPr>
        <w:pStyle w:val="ListBullet"/>
      </w:pPr>
      <w:r w:rsidRPr="004D1821">
        <w:t>reasons for preventing ODS and SGG emissions in the workplace</w:t>
      </w:r>
    </w:p>
    <w:p w:rsidR="00000000" w:rsidRPr="004D1821" w:rsidP="004D1821">
      <w:pPr>
        <w:pStyle w:val="ListBullet"/>
      </w:pPr>
      <w:r w:rsidRPr="004D1821">
        <w:t>types and purpose of tools and equipment used when receiving and dispatching scheduled gaseous fire-extinguishing agents:</w:t>
      </w:r>
    </w:p>
    <w:p w:rsidR="00000000" w:rsidRPr="004D1821" w:rsidP="004D1821">
      <w:pPr>
        <w:pStyle w:val="ListBullet2"/>
      </w:pPr>
      <w:r w:rsidRPr="004D1821">
        <w:t>manual-handling aids</w:t>
      </w:r>
    </w:p>
    <w:p w:rsidR="00000000" w:rsidRPr="004D1821" w:rsidP="004D1821">
      <w:pPr>
        <w:pStyle w:val="ListBullet2"/>
      </w:pPr>
      <w:r w:rsidRPr="004D1821">
        <w:t>personal protective equipment (PPE)</w:t>
      </w:r>
    </w:p>
    <w:p w:rsidR="00000000" w:rsidRPr="004D1821" w:rsidP="004D1821">
      <w:pPr>
        <w:pStyle w:val="ListBullet"/>
      </w:pPr>
      <w:r w:rsidRPr="004D1821">
        <w:t xml:space="preserve">types of ODS and SGG containers, including materials stored in ODS and SGG </w:t>
      </w:r>
      <w:r w:rsidRPr="004D1821">
        <w:t>containers</w:t>
      </w:r>
    </w:p>
    <w:p w:rsidR="00000000" w:rsidRPr="004D1821" w:rsidP="004D1821">
      <w:pPr>
        <w:pStyle w:val="ListBullet"/>
      </w:pPr>
      <w:r w:rsidRPr="004D1821">
        <w:t>workplace requirements for receiving and dispatching scheduled gaseous fire-extinguishing agents:</w:t>
      </w:r>
    </w:p>
    <w:p w:rsidR="00000000" w:rsidRPr="004D1821" w:rsidP="004D1821">
      <w:pPr>
        <w:pStyle w:val="ListBullet2"/>
      </w:pPr>
      <w:r w:rsidRPr="004D1821">
        <w:t>documentation and reporting</w:t>
      </w:r>
    </w:p>
    <w:p w:rsidR="00000000" w:rsidRPr="004D1821" w:rsidP="004D1821">
      <w:pPr>
        <w:pStyle w:val="ListBullet2"/>
      </w:pPr>
      <w:r w:rsidRPr="004D1821">
        <w:t>WHS, including hazard and risk identification and control.</w:t>
      </w:r>
    </w:p>
    <w:p w:rsidR="00000000" w:rsidRPr="004D1821" w:rsidP="004D1821">
      <w:pPr>
        <w:pStyle w:val="AllowPageBreak"/>
      </w:pPr>
    </w:p>
    <w:p w:rsidR="00000000" w:rsidRPr="004D1821" w:rsidP="004D1821">
      <w:pPr>
        <w:pStyle w:val="Heading1"/>
      </w:pPr>
      <w:bookmarkStart w:id="12" w:name="O_1163622"/>
      <w:bookmarkEnd w:id="12"/>
      <w:r w:rsidRPr="004D1821">
        <w:t>Assessment Conditions</w:t>
      </w:r>
    </w:p>
    <w:p w:rsidR="00000000" w:rsidRPr="004D1821" w:rsidP="001F279A">
      <w:pPr>
        <w:pStyle w:val="BodyText"/>
      </w:pPr>
      <w:r w:rsidRPr="004D1821">
        <w:t>Assessors must mee</w:t>
      </w:r>
      <w:r w:rsidRPr="004D1821">
        <w:t xml:space="preserve">t the requirements for assessors contained in the Standards for Registered Training Organisations. </w:t>
      </w:r>
    </w:p>
    <w:p w:rsidR="00000000" w:rsidRPr="004D1821" w:rsidP="001F279A">
      <w:pPr>
        <w:pStyle w:val="BodyText"/>
      </w:pPr>
      <w:r w:rsidRPr="004D1821">
        <w:t>Assessment must be conducted in the workplace or a simulated workplace using realistic conditions, materials, activities, responsibilities, procedures, safe</w:t>
      </w:r>
      <w:r w:rsidRPr="004D1821">
        <w:t>ty requirements and environmental considerations.</w:t>
      </w:r>
    </w:p>
    <w:p w:rsidR="00000000" w:rsidRPr="004D1821" w:rsidP="001F279A">
      <w:pPr>
        <w:pStyle w:val="BodyText"/>
      </w:pPr>
      <w:r w:rsidRPr="004D1821">
        <w:t>Candidates must have access to documentation, tools, equipment and containers required to achieve the performance evidence.</w:t>
      </w:r>
    </w:p>
    <w:p w:rsidR="00000000" w:rsidRPr="004D1821" w:rsidP="004D1821">
      <w:pPr>
        <w:pStyle w:val="Heading1"/>
      </w:pPr>
      <w:bookmarkStart w:id="13" w:name="O_1163620"/>
      <w:bookmarkEnd w:id="13"/>
      <w:r w:rsidRPr="004D1821">
        <w:t>Links</w:t>
      </w:r>
    </w:p>
    <w:p w:rsidR="00000000" w:rsidRPr="004D1821" w:rsidP="001F279A">
      <w:pPr>
        <w:pStyle w:val="BodyText"/>
      </w:pPr>
      <w:r w:rsidRPr="004D182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72CB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D1821" w:rsidP="004D1821"/>
    <w:sectPr w:rsidSect="004D18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21" w:rsidRPr="001F279A" w:rsidP="001F2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9A" w:rsidP="004D1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79A" w:rsidP="004D1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F279A" w:rsidP="004D18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21" w:rsidP="004D1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279A">
      <w:t>Approved</w:t>
    </w:r>
    <w:r w:rsidR="001F27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27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279A">
      <w:rPr>
        <w:noProof/>
      </w:rPr>
      <w:t>4</w:t>
    </w:r>
    <w:r>
      <w:rPr>
        <w:noProof/>
      </w:rPr>
      <w:fldChar w:fldCharType="end"/>
    </w:r>
  </w:p>
  <w:p w:rsidR="004D1821" w:rsidP="004D1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27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279A">
      <w:t>BuildSkills Australia</w:t>
    </w:r>
    <w:r w:rsidR="001F279A">
      <w:fldChar w:fldCharType="end"/>
    </w:r>
  </w:p>
  <w:p w:rsidR="004D1821" w:rsidP="004D1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821" w:rsidRPr="001F279A" w:rsidP="001F2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79A" w:rsidRPr="002D2AF8" w:rsidP="004D1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CPPFES2048 Receive and dispatch scheduled gaseous fire-extinguishing agents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279A" w:rsidP="004D18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21" w:rsidRPr="002D2AF8" w:rsidP="004D1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279A">
      <w:t>CPPFES2048 Receive and dispatch scheduled gaseous fire-extinguishing agents</w:t>
    </w:r>
    <w:r w:rsidR="001F27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279A">
      <w:rPr>
        <w:noProof/>
      </w:rPr>
      <w:t>2 March 2025</w:t>
    </w:r>
    <w:r>
      <w:fldChar w:fldCharType="end"/>
    </w:r>
  </w:p>
  <w:p w:rsidR="004D1821" w:rsidP="004D1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A6C2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443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569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821"/>
  </w:style>
  <w:style w:type="character" w:customStyle="1" w:styleId="Heading1Char">
    <w:name w:val="Heading 1 Char"/>
    <w:basedOn w:val="DefaultParagraphFont"/>
    <w:link w:val="Heading1"/>
    <w:rsid w:val="004D1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18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18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1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1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1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1821"/>
    <w:rPr>
      <w:b/>
      <w:spacing w:val="0"/>
    </w:rPr>
  </w:style>
  <w:style w:type="paragraph" w:customStyle="1" w:styleId="SuperTitle">
    <w:name w:val="SuperTitle"/>
    <w:basedOn w:val="Title"/>
    <w:rsid w:val="004D1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1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8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1821"/>
    <w:rPr>
      <w:i/>
    </w:rPr>
  </w:style>
  <w:style w:type="paragraph" w:styleId="Caption">
    <w:name w:val="caption"/>
    <w:basedOn w:val="BodyText"/>
    <w:next w:val="Normal"/>
    <w:qFormat/>
    <w:rsid w:val="004D1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821"/>
  </w:style>
  <w:style w:type="paragraph" w:styleId="TableofFigures">
    <w:name w:val="table of figures"/>
    <w:basedOn w:val="Normal"/>
    <w:next w:val="Normal"/>
    <w:semiHidden/>
    <w:rsid w:val="004D1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8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1821"/>
    <w:rPr>
      <w:rFonts w:ascii="Wingdings" w:hAnsi="Wingdings"/>
    </w:rPr>
  </w:style>
  <w:style w:type="paragraph" w:customStyle="1" w:styleId="TableHeading">
    <w:name w:val="Table Heading"/>
    <w:basedOn w:val="HeadingBase"/>
    <w:rsid w:val="004D1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821"/>
    <w:rPr>
      <w:color w:val="0033CC"/>
      <w:u w:val="none"/>
    </w:rPr>
  </w:style>
  <w:style w:type="paragraph" w:customStyle="1" w:styleId="BodyTextRight">
    <w:name w:val="Body Text Right"/>
    <w:basedOn w:val="BodyText"/>
    <w:rsid w:val="004D1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8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821"/>
    <w:rPr>
      <w:sz w:val="32"/>
    </w:rPr>
  </w:style>
  <w:style w:type="paragraph" w:customStyle="1" w:styleId="HeadingProcedure">
    <w:name w:val="Heading Procedure"/>
    <w:basedOn w:val="HeadingBase"/>
    <w:next w:val="Normal"/>
    <w:rsid w:val="004D1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821"/>
    <w:pPr>
      <w:spacing w:before="60" w:after="60"/>
    </w:pPr>
  </w:style>
  <w:style w:type="paragraph" w:styleId="ListContinue">
    <w:name w:val="List Continue"/>
    <w:basedOn w:val="List"/>
    <w:rsid w:val="004D1821"/>
    <w:pPr>
      <w:ind w:firstLine="0"/>
    </w:pPr>
  </w:style>
  <w:style w:type="paragraph" w:customStyle="1" w:styleId="ListNote">
    <w:name w:val="List Note"/>
    <w:basedOn w:val="List"/>
    <w:rsid w:val="004D1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821"/>
    <w:rPr>
      <w:rFonts w:ascii="Courier New" w:hAnsi="Courier New"/>
    </w:rPr>
  </w:style>
  <w:style w:type="paragraph" w:customStyle="1" w:styleId="NoteBullet">
    <w:name w:val="Note Bullet"/>
    <w:basedOn w:val="Note"/>
    <w:rsid w:val="004D1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8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1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821"/>
    <w:rPr>
      <w:b/>
      <w:smallCaps/>
    </w:rPr>
  </w:style>
  <w:style w:type="paragraph" w:customStyle="1" w:styleId="TableListNumber">
    <w:name w:val="Table List Number"/>
    <w:basedOn w:val="ListNumber"/>
    <w:rsid w:val="004D1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821"/>
    <w:pPr>
      <w:numPr>
        <w:numId w:val="9"/>
      </w:numPr>
    </w:pPr>
  </w:style>
  <w:style w:type="paragraph" w:customStyle="1" w:styleId="ListAlpha2">
    <w:name w:val="List Alpha 2"/>
    <w:basedOn w:val="List2"/>
    <w:rsid w:val="004D1821"/>
    <w:pPr>
      <w:numPr>
        <w:numId w:val="8"/>
      </w:numPr>
    </w:pPr>
  </w:style>
  <w:style w:type="paragraph" w:styleId="List2">
    <w:name w:val="List 2"/>
    <w:basedOn w:val="BodyText"/>
    <w:rsid w:val="004D1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8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8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1821"/>
    <w:pPr>
      <w:numPr>
        <w:numId w:val="4"/>
      </w:numPr>
    </w:pPr>
  </w:style>
  <w:style w:type="paragraph" w:styleId="ListContinue2">
    <w:name w:val="List Continue 2"/>
    <w:basedOn w:val="List2"/>
    <w:rsid w:val="004D1821"/>
    <w:pPr>
      <w:ind w:firstLine="0"/>
    </w:pPr>
  </w:style>
  <w:style w:type="paragraph" w:styleId="ListContinue3">
    <w:name w:val="List Continue 3"/>
    <w:basedOn w:val="List3"/>
    <w:rsid w:val="004D1821"/>
    <w:pPr>
      <w:ind w:left="1021" w:firstLine="0"/>
    </w:pPr>
  </w:style>
  <w:style w:type="paragraph" w:styleId="ListContinue4">
    <w:name w:val="List Continue 4"/>
    <w:basedOn w:val="List4"/>
    <w:rsid w:val="004D1821"/>
    <w:pPr>
      <w:ind w:firstLine="0"/>
    </w:pPr>
  </w:style>
  <w:style w:type="paragraph" w:styleId="ListContinue5">
    <w:name w:val="List Continue 5"/>
    <w:basedOn w:val="List5"/>
    <w:rsid w:val="004D1821"/>
    <w:pPr>
      <w:ind w:firstLine="0"/>
    </w:pPr>
  </w:style>
  <w:style w:type="paragraph" w:styleId="ListNumber3">
    <w:name w:val="List Number 3"/>
    <w:basedOn w:val="List3"/>
    <w:rsid w:val="004D1821"/>
    <w:pPr>
      <w:numPr>
        <w:numId w:val="5"/>
      </w:numPr>
    </w:pPr>
  </w:style>
  <w:style w:type="paragraph" w:styleId="ListNumber4">
    <w:name w:val="List Number 4"/>
    <w:basedOn w:val="List4"/>
    <w:rsid w:val="004D1821"/>
    <w:pPr>
      <w:numPr>
        <w:numId w:val="6"/>
      </w:numPr>
    </w:pPr>
  </w:style>
  <w:style w:type="paragraph" w:styleId="ListNumber5">
    <w:name w:val="List Number 5"/>
    <w:basedOn w:val="List5"/>
    <w:rsid w:val="004D1821"/>
    <w:pPr>
      <w:numPr>
        <w:numId w:val="7"/>
      </w:numPr>
    </w:pPr>
  </w:style>
  <w:style w:type="paragraph" w:styleId="BlockText">
    <w:name w:val="Block Text"/>
    <w:basedOn w:val="Normal"/>
    <w:rsid w:val="004D1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821"/>
    <w:rPr>
      <w:sz w:val="16"/>
      <w:vertAlign w:val="superscript"/>
    </w:rPr>
  </w:style>
  <w:style w:type="character" w:customStyle="1" w:styleId="Symbols">
    <w:name w:val="Symbols"/>
    <w:basedOn w:val="DefaultParagraphFont"/>
    <w:rsid w:val="004D1821"/>
    <w:rPr>
      <w:rFonts w:ascii="Symbol" w:hAnsi="Symbol"/>
    </w:rPr>
  </w:style>
  <w:style w:type="character" w:customStyle="1" w:styleId="MenuOptions">
    <w:name w:val="Menu Options"/>
    <w:basedOn w:val="DefaultParagraphFont"/>
    <w:rsid w:val="004D1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821"/>
    <w:rPr>
      <w:b/>
    </w:rPr>
  </w:style>
  <w:style w:type="character" w:customStyle="1" w:styleId="Underlined">
    <w:name w:val="Underlined"/>
    <w:basedOn w:val="DefaultParagraphFont"/>
    <w:rsid w:val="004D1821"/>
    <w:rPr>
      <w:u w:val="single"/>
    </w:rPr>
  </w:style>
  <w:style w:type="paragraph" w:customStyle="1" w:styleId="TableBodyTextRight">
    <w:name w:val="Table Body Text Right"/>
    <w:basedOn w:val="TableBodyText"/>
    <w:rsid w:val="004D1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821"/>
    <w:rPr>
      <w:sz w:val="18"/>
    </w:rPr>
  </w:style>
  <w:style w:type="paragraph" w:customStyle="1" w:styleId="BodySmallRight">
    <w:name w:val="Body Small Right"/>
    <w:basedOn w:val="BodyTextRight"/>
    <w:rsid w:val="004D1821"/>
    <w:rPr>
      <w:sz w:val="18"/>
      <w:szCs w:val="18"/>
    </w:rPr>
  </w:style>
  <w:style w:type="paragraph" w:customStyle="1" w:styleId="MarginEdition">
    <w:name w:val="Margin Edition"/>
    <w:basedOn w:val="MarginNote"/>
    <w:rsid w:val="004D1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821"/>
    <w:rPr>
      <w:sz w:val="2"/>
      <w:szCs w:val="2"/>
    </w:rPr>
  </w:style>
  <w:style w:type="character" w:customStyle="1" w:styleId="Small">
    <w:name w:val="Small"/>
    <w:basedOn w:val="DefaultParagraphFont"/>
    <w:rsid w:val="004D1821"/>
    <w:rPr>
      <w:sz w:val="16"/>
    </w:rPr>
  </w:style>
  <w:style w:type="paragraph" w:customStyle="1" w:styleId="WideTable">
    <w:name w:val="Wide Table"/>
    <w:basedOn w:val="Normal"/>
    <w:rsid w:val="004D1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821"/>
  </w:style>
  <w:style w:type="paragraph" w:styleId="Quote">
    <w:name w:val="Quote"/>
    <w:basedOn w:val="Heading1"/>
    <w:link w:val="QuoteChar"/>
    <w:qFormat/>
    <w:rsid w:val="004D1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821"/>
    <w:pPr>
      <w:pageBreakBefore/>
    </w:pPr>
  </w:style>
  <w:style w:type="paragraph" w:customStyle="1" w:styleId="Border">
    <w:name w:val="Border"/>
    <w:basedOn w:val="Normal"/>
    <w:qFormat/>
    <w:rsid w:val="004D1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821"/>
    <w:rPr>
      <w:u w:val="single"/>
    </w:rPr>
  </w:style>
  <w:style w:type="character" w:customStyle="1" w:styleId="BoldandItalics">
    <w:name w:val="Bold and Italics"/>
    <w:qFormat/>
    <w:rsid w:val="004D1821"/>
    <w:rPr>
      <w:b/>
      <w:i/>
      <w:u w:val="none"/>
    </w:rPr>
  </w:style>
  <w:style w:type="paragraph" w:styleId="BalloonText">
    <w:name w:val="Balloon Text"/>
    <w:basedOn w:val="Normal"/>
    <w:link w:val="BalloonTextChar"/>
    <w:rsid w:val="004D1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821"/>
    <w:pPr>
      <w:spacing w:before="0" w:after="0"/>
    </w:pPr>
  </w:style>
  <w:style w:type="paragraph" w:customStyle="1" w:styleId="BodyTextBold">
    <w:name w:val="Body Text Bold"/>
    <w:basedOn w:val="BodyText"/>
    <w:qFormat/>
    <w:rsid w:val="004D1821"/>
    <w:rPr>
      <w:b/>
    </w:rPr>
  </w:style>
  <w:style w:type="character" w:styleId="Hyperlink">
    <w:name w:val="Hyperlink"/>
    <w:basedOn w:val="DefaultParagraphFont"/>
    <w:uiPriority w:val="99"/>
    <w:unhideWhenUsed/>
    <w:rsid w:val="001F2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7114</Characters>
  <Application>Microsoft Office Word</Application>
  <DocSecurity>0</DocSecurity>
  <Lines>263</Lines>
  <Paragraphs>141</Paragraphs>
  <ScaleCrop>false</ScaleCrop>
  <Company>Author-it Software Corporation Ltd.</Company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CPPFES2048 Receive and dispatch scheduled gaseous fire-extinguishing agents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2025-03-01T16:11:00Z</dcterms:created>
  <dcterms:modified xsi:type="dcterms:W3CDTF">2025-03-01T16:11:00Z</dcterms:modified>
</cp:coreProperties>
</file>