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FD0" w:rsidP="005E7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CPPFES2048 Receive and dispatch scheduled gaseous fire-extinguishing agents</w:t>
      </w:r>
      <w:r>
        <w:fldChar w:fldCharType="end"/>
      </w:r>
    </w:p>
    <w:p w:rsidR="005E7FD0" w:rsidP="005E7FD0">
      <w:pPr>
        <w:pStyle w:val="Version"/>
        <w:sectPr w:rsidSect="00242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FDD" w:rsidP="00242FDD">
      <w:pPr>
        <w:pStyle w:val="SuperHeading"/>
      </w:pPr>
      <w:r w:rsidRPr="00242FDD">
        <w:t>Assessment Requirements for CPPFES2048 Receive and dispatch scheduled gaseous fire-extinguishing agents</w:t>
      </w:r>
    </w:p>
    <w:p w:rsidR="00000000" w:rsidRPr="00242FDD" w:rsidP="00242FDD">
      <w:pPr>
        <w:pStyle w:val="Heading1"/>
      </w:pPr>
      <w:bookmarkStart w:id="1" w:name="O_1163621"/>
      <w:bookmarkEnd w:id="1"/>
      <w:r w:rsidRPr="00242F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242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DD">
            <w:pPr>
              <w:pStyle w:val="BodyText"/>
              <w:rPr>
                <w:lang w:val="en-NZ"/>
              </w:rPr>
            </w:pPr>
            <w:r w:rsidRPr="00242FDD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DD" w:rsidP="00242FDD">
            <w:pPr>
              <w:pStyle w:val="BodyText"/>
            </w:pPr>
            <w:r w:rsidRPr="00242FDD">
              <w:t>This version first released with CPP Property Services Training Package Release 13.0.</w:t>
            </w:r>
          </w:p>
          <w:p w:rsidR="00000000" w:rsidRPr="00242FDD" w:rsidP="00242FDD">
            <w:pPr>
              <w:pStyle w:val="BodyText"/>
            </w:pPr>
            <w:r w:rsidRPr="00242FDD">
              <w:t>Supersedes and is equivalent to CPPFES2048A Receive and dispatch scheduled gaseous fire-extinguishing agents.  Unit updated to meet the Standards for Training Packages 2012.</w:t>
            </w:r>
          </w:p>
        </w:tc>
      </w:tr>
    </w:tbl>
    <w:p w:rsidR="00000000" w:rsidRPr="00242FDD" w:rsidP="00242FDD">
      <w:pPr>
        <w:pStyle w:val="BodyText"/>
      </w:pPr>
    </w:p>
    <w:p w:rsidR="00000000" w:rsidRPr="00242FDD" w:rsidP="00242FDD">
      <w:pPr>
        <w:pStyle w:val="AllowPageBreak"/>
      </w:pPr>
    </w:p>
    <w:p w:rsidR="00000000" w:rsidRPr="00242FDD" w:rsidP="00242FDD">
      <w:pPr>
        <w:pStyle w:val="Heading1"/>
      </w:pPr>
      <w:bookmarkStart w:id="2" w:name="O_1163624"/>
      <w:bookmarkEnd w:id="2"/>
      <w:r w:rsidRPr="00242FDD">
        <w:t>Performance Evidence</w:t>
      </w:r>
    </w:p>
    <w:p w:rsidR="00000000" w:rsidRPr="00242FDD" w:rsidP="005E7FD0">
      <w:pPr>
        <w:pStyle w:val="BodyText"/>
      </w:pPr>
      <w:r w:rsidRPr="00242FDD">
        <w:t>To demonstrate competency, a candidate m</w:t>
      </w:r>
      <w:r w:rsidRPr="00242FDD">
        <w:t>ust meet the elements and performance criteria of this unit by receiving and dispatching scheduled gaseous fire-extinguishing agents on two separate occasions.</w:t>
      </w:r>
    </w:p>
    <w:p w:rsidR="00000000" w:rsidRPr="00242FDD" w:rsidP="00242FDD">
      <w:pPr>
        <w:pStyle w:val="Heading1"/>
      </w:pPr>
      <w:bookmarkStart w:id="3" w:name="O_1163623"/>
      <w:bookmarkEnd w:id="3"/>
      <w:r w:rsidRPr="00242FDD">
        <w:t>Knowledge Evidence</w:t>
      </w:r>
    </w:p>
    <w:p w:rsidR="00000000" w:rsidRPr="00242FDD" w:rsidP="005E7FD0">
      <w:pPr>
        <w:pStyle w:val="BodyText"/>
      </w:pPr>
      <w:r w:rsidRPr="00242FDD">
        <w:t>To be competent in this unit, a candidate must demonstrate</w:t>
      </w:r>
      <w:r w:rsidRPr="00242FDD">
        <w:t xml:space="preserve"> knowledge of:</w:t>
      </w:r>
    </w:p>
    <w:p w:rsidR="00000000" w:rsidRPr="00242FDD" w:rsidP="00242FDD">
      <w:pPr>
        <w:pStyle w:val="ListBullet"/>
      </w:pPr>
      <w:r w:rsidRPr="00242FDD">
        <w:t>action to take when a breach of regulation, work health and safety (WHS), ozone depleting substances (ODS) and synthetic greenhouse gases (SGG) or other policy occurs when receiving and dispatching scheduled gaseous fire-extinguishing agent</w:t>
      </w:r>
      <w:r w:rsidRPr="00242FDD">
        <w:t>s</w:t>
      </w:r>
    </w:p>
    <w:p w:rsidR="00000000" w:rsidRPr="00242FDD" w:rsidP="00242FDD">
      <w:pPr>
        <w:pStyle w:val="ListBullet"/>
      </w:pPr>
      <w:r w:rsidRPr="00242FDD">
        <w:t>dangerous goods markings and requirements for securing and transporting scheduled gaseous fire-extinguishing agents</w:t>
      </w:r>
    </w:p>
    <w:p w:rsidR="00000000" w:rsidRPr="00242FDD" w:rsidP="00242FDD">
      <w:pPr>
        <w:pStyle w:val="ListBullet"/>
      </w:pPr>
      <w:r w:rsidRPr="00242FDD">
        <w:t>handling and storage requirements for scheduled ODS and SGG in accordance with the Fire Protection Industry (ODS &amp;SGG) Board ODS &amp; SGG Goo</w:t>
      </w:r>
      <w:r w:rsidRPr="00242FDD">
        <w:t>d Practice Guide</w:t>
      </w:r>
    </w:p>
    <w:p w:rsidR="00000000" w:rsidRPr="00242FDD" w:rsidP="00242FDD">
      <w:pPr>
        <w:pStyle w:val="ListBullet"/>
      </w:pPr>
      <w:r w:rsidRPr="00242FDD">
        <w:t>documentation used to receive, classify, move, store and dispatch ODS and SGG containers</w:t>
      </w:r>
    </w:p>
    <w:p w:rsidR="00000000" w:rsidRPr="00242FDD" w:rsidP="00242FDD">
      <w:pPr>
        <w:pStyle w:val="ListBullet"/>
      </w:pPr>
      <w:r w:rsidRPr="00242FDD">
        <w:t>key requirements of relevant regulations, Australian Standards and licensing associated with receiving and dispatching scheduled gaseous fire-extinguishing agents:</w:t>
      </w:r>
    </w:p>
    <w:p w:rsidR="00000000" w:rsidRPr="00242FDD" w:rsidP="00242FDD">
      <w:pPr>
        <w:pStyle w:val="ListBullet2"/>
      </w:pPr>
      <w:r w:rsidRPr="00242FDD">
        <w:t>Australian Dangerous Goods (ADG) Code requirements for road transport of class 2.2 substanc</w:t>
      </w:r>
      <w:r w:rsidRPr="00242FDD">
        <w:t>es</w:t>
      </w:r>
    </w:p>
    <w:p w:rsidR="00000000" w:rsidRPr="00242FDD" w:rsidP="00242FDD">
      <w:pPr>
        <w:pStyle w:val="ListBullet2"/>
      </w:pPr>
      <w:r w:rsidRPr="00242FDD">
        <w:t>compliance records</w:t>
      </w:r>
    </w:p>
    <w:p w:rsidR="00000000" w:rsidRPr="00242FDD" w:rsidP="00242FDD">
      <w:pPr>
        <w:pStyle w:val="ListBullet2"/>
      </w:pPr>
      <w:r w:rsidRPr="00242FDD">
        <w:t>extinguishing agent handling licence (EAHL) requirements</w:t>
      </w:r>
    </w:p>
    <w:p w:rsidR="00000000" w:rsidRPr="00242FDD" w:rsidP="00242FDD">
      <w:pPr>
        <w:pStyle w:val="ListBullet2"/>
      </w:pPr>
      <w:r w:rsidRPr="00242FDD">
        <w:t>environmental protection</w:t>
      </w:r>
    </w:p>
    <w:p w:rsidR="00000000" w:rsidRPr="00242FDD" w:rsidP="00242FDD">
      <w:pPr>
        <w:pStyle w:val="ListBullet2"/>
      </w:pPr>
      <w:r w:rsidRPr="00242FDD">
        <w:t>state and territory dangerous goods legislation relevant to storage of class 2.2 substances</w:t>
      </w:r>
    </w:p>
    <w:p w:rsidR="00000000" w:rsidRPr="00242FDD" w:rsidP="00242FDD">
      <w:pPr>
        <w:pStyle w:val="ListBullet2"/>
      </w:pPr>
      <w:r w:rsidRPr="00242FDD">
        <w:t>storage and handling of gases in cylinders</w:t>
      </w:r>
    </w:p>
    <w:p w:rsidR="00000000" w:rsidRPr="00242FDD" w:rsidP="00242FDD">
      <w:pPr>
        <w:pStyle w:val="ListBullet"/>
      </w:pPr>
      <w:r w:rsidRPr="00242FDD">
        <w:t xml:space="preserve">manual-handling </w:t>
      </w:r>
      <w:r w:rsidRPr="00242FDD">
        <w:t>techniques and aids to be used when receiving and dispatching ODS and SGG containers, and implications of:</w:t>
      </w:r>
    </w:p>
    <w:p w:rsidR="00000000" w:rsidRPr="00242FDD" w:rsidP="00242FDD">
      <w:pPr>
        <w:pStyle w:val="ListBullet2"/>
      </w:pPr>
      <w:r w:rsidRPr="00242FDD">
        <w:t>ignoring safety precautions when using mechanical and manual-handling aids</w:t>
      </w:r>
    </w:p>
    <w:p w:rsidR="00000000" w:rsidRPr="00242FDD" w:rsidP="00242FDD">
      <w:pPr>
        <w:pStyle w:val="ListBullet2"/>
      </w:pPr>
      <w:r w:rsidRPr="00242FDD">
        <w:t>using incorrect manual-lifting techniques</w:t>
      </w:r>
    </w:p>
    <w:p w:rsidR="00000000" w:rsidRPr="00242FDD" w:rsidP="00242FDD">
      <w:pPr>
        <w:pStyle w:val="ListBullet"/>
      </w:pPr>
      <w:r w:rsidRPr="00242FDD">
        <w:t>methods used to:</w:t>
      </w:r>
    </w:p>
    <w:p w:rsidR="00000000" w:rsidRPr="00242FDD" w:rsidP="00242FDD">
      <w:pPr>
        <w:pStyle w:val="ListBullet2"/>
      </w:pPr>
      <w:r w:rsidRPr="00242FDD">
        <w:t>isolate cond</w:t>
      </w:r>
      <w:r w:rsidRPr="00242FDD">
        <w:t>emned containers</w:t>
      </w:r>
    </w:p>
    <w:p w:rsidR="00000000" w:rsidRPr="00242FDD" w:rsidP="00242FDD">
      <w:pPr>
        <w:pStyle w:val="ListBullet2"/>
      </w:pPr>
      <w:r w:rsidRPr="00242FDD">
        <w:t>label condemned containers</w:t>
      </w:r>
    </w:p>
    <w:p w:rsidR="00000000" w:rsidRPr="00242FDD" w:rsidP="00242FDD">
      <w:pPr>
        <w:pStyle w:val="ListBullet2"/>
      </w:pPr>
      <w:r w:rsidRPr="00242FDD">
        <w:t>make safe containers</w:t>
      </w:r>
    </w:p>
    <w:p w:rsidR="00000000" w:rsidRPr="00242FDD" w:rsidP="00242FDD">
      <w:pPr>
        <w:pStyle w:val="ListBullet2"/>
      </w:pPr>
      <w:r w:rsidRPr="00242FDD">
        <w:t>prevent ODS and SGG emissions in the workplace</w:t>
      </w:r>
    </w:p>
    <w:p w:rsidR="00000000" w:rsidRPr="00242FDD" w:rsidP="00242FDD">
      <w:pPr>
        <w:pStyle w:val="ListBullet"/>
      </w:pPr>
      <w:r w:rsidRPr="00242FDD">
        <w:t>principles and procedures related to receiving, classifying, moving, storing and dispatching stock</w:t>
      </w:r>
    </w:p>
    <w:p w:rsidR="00000000" w:rsidRPr="00242FDD" w:rsidP="00242FDD">
      <w:pPr>
        <w:pStyle w:val="ListBullet"/>
      </w:pPr>
      <w:r w:rsidRPr="00242FDD">
        <w:t>reasons for preventing ODS and SGG emissions in the workplace</w:t>
      </w:r>
    </w:p>
    <w:p w:rsidR="00000000" w:rsidRPr="00242FDD" w:rsidP="00242FDD">
      <w:pPr>
        <w:pStyle w:val="ListBullet"/>
      </w:pPr>
      <w:r w:rsidRPr="00242FDD">
        <w:t>types and purpose of tools and equipment used when receiving and dispatching scheduled gaseous fire-extinguishing agents:</w:t>
      </w:r>
    </w:p>
    <w:p w:rsidR="00000000" w:rsidRPr="00242FDD" w:rsidP="00242FDD">
      <w:pPr>
        <w:pStyle w:val="ListBullet2"/>
      </w:pPr>
      <w:r w:rsidRPr="00242FDD">
        <w:t>manual-handling aids</w:t>
      </w:r>
    </w:p>
    <w:p w:rsidR="00000000" w:rsidRPr="00242FDD" w:rsidP="00242FDD">
      <w:pPr>
        <w:pStyle w:val="ListBullet2"/>
      </w:pPr>
      <w:r w:rsidRPr="00242FDD">
        <w:t>personal protective equipment (PPE)</w:t>
      </w:r>
    </w:p>
    <w:p w:rsidR="00000000" w:rsidRPr="00242FDD" w:rsidP="00242FDD">
      <w:pPr>
        <w:pStyle w:val="ListBullet"/>
      </w:pPr>
      <w:r w:rsidRPr="00242FDD">
        <w:t xml:space="preserve">types of ODS </w:t>
      </w:r>
      <w:r w:rsidRPr="00242FDD">
        <w:t>and SGG containers, including materials stored in ODS and SGG containers</w:t>
      </w:r>
    </w:p>
    <w:p w:rsidR="00000000" w:rsidRPr="00242FDD" w:rsidP="00242FDD">
      <w:pPr>
        <w:pStyle w:val="ListBullet"/>
      </w:pPr>
      <w:r w:rsidRPr="00242FDD">
        <w:t>workplace requirements for receiving and dispatching scheduled gaseous fire-extinguishing agents:</w:t>
      </w:r>
    </w:p>
    <w:p w:rsidR="00000000" w:rsidRPr="00242FDD" w:rsidP="00242FDD">
      <w:pPr>
        <w:pStyle w:val="ListBullet2"/>
      </w:pPr>
      <w:r w:rsidRPr="00242FDD">
        <w:t>documentation and reporting</w:t>
      </w:r>
    </w:p>
    <w:p w:rsidR="00000000" w:rsidRPr="00242FDD" w:rsidP="00242FDD">
      <w:pPr>
        <w:pStyle w:val="ListBullet2"/>
      </w:pPr>
      <w:r w:rsidRPr="00242FDD">
        <w:t>WHS, including hazard and risk identification and contro</w:t>
      </w:r>
      <w:r w:rsidRPr="00242FDD">
        <w:t>l.</w:t>
      </w:r>
    </w:p>
    <w:p w:rsidR="00000000" w:rsidRPr="00242FDD" w:rsidP="00242FDD">
      <w:pPr>
        <w:pStyle w:val="AllowPageBreak"/>
      </w:pPr>
    </w:p>
    <w:p w:rsidR="00000000" w:rsidRPr="00242FDD" w:rsidP="00242FDD">
      <w:pPr>
        <w:pStyle w:val="Heading1"/>
      </w:pPr>
      <w:bookmarkStart w:id="4" w:name="O_1163622"/>
      <w:bookmarkEnd w:id="4"/>
      <w:r w:rsidRPr="00242FDD">
        <w:t>Assessment Conditions</w:t>
      </w:r>
    </w:p>
    <w:p w:rsidR="00000000" w:rsidRPr="00242FDD" w:rsidP="005E7FD0">
      <w:pPr>
        <w:pStyle w:val="BodyText"/>
      </w:pPr>
      <w:r w:rsidRPr="00242FDD">
        <w:t xml:space="preserve">Assessors must meet the requirements for assessors contained in the Standards for Registered Training Organisations. </w:t>
      </w:r>
    </w:p>
    <w:p w:rsidR="00000000" w:rsidRPr="00242FDD" w:rsidP="005E7FD0">
      <w:pPr>
        <w:pStyle w:val="BodyText"/>
      </w:pPr>
      <w:r w:rsidRPr="00242FDD">
        <w:t>Assessment must be conducted in the workplace or a simulated workplace using realistic conditi</w:t>
      </w:r>
      <w:r w:rsidRPr="00242FDD">
        <w:t>ons, materials, activities, responsibilities, procedures, safety requirements and environmental considerations.</w:t>
      </w:r>
    </w:p>
    <w:p w:rsidR="00000000" w:rsidRPr="00242FDD" w:rsidP="005E7FD0">
      <w:pPr>
        <w:pStyle w:val="BodyText"/>
      </w:pPr>
      <w:r w:rsidRPr="00242FDD">
        <w:t>Candidates must have access to documentation, tools, equipment and containers required to achieve the performance evidence.</w:t>
      </w:r>
    </w:p>
    <w:p w:rsidR="00000000" w:rsidRPr="00242FDD" w:rsidP="00242FDD">
      <w:pPr>
        <w:pStyle w:val="Heading1"/>
      </w:pPr>
      <w:bookmarkStart w:id="5" w:name="O_1163620"/>
      <w:bookmarkEnd w:id="5"/>
      <w:r w:rsidRPr="00242FDD">
        <w:t>Links</w:t>
      </w:r>
    </w:p>
    <w:p w:rsidR="00000000" w:rsidRPr="00242FDD" w:rsidP="005E7FD0">
      <w:pPr>
        <w:pStyle w:val="BodyText"/>
      </w:pPr>
      <w:r w:rsidRPr="00242F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63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2FDD" w:rsidP="00242FDD"/>
    <w:sectPr w:rsidSect="00242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DD" w:rsidRPr="005E7FD0" w:rsidP="005E7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D0" w:rsidP="00242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7FD0" w:rsidP="00242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E7FD0" w:rsidP="00242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FDD" w:rsidRPr="005E7FD0" w:rsidP="005E7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D0" w:rsidRPr="002D2AF8" w:rsidP="00242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CPPFES2048 Receive and dispatch scheduled gaseous fire-extinguishing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E7FD0" w:rsidP="00242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47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9AE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30A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FDD"/>
  </w:style>
  <w:style w:type="character" w:customStyle="1" w:styleId="Heading1Char">
    <w:name w:val="Heading 1 Char"/>
    <w:basedOn w:val="DefaultParagraphFont"/>
    <w:link w:val="Heading1"/>
    <w:rsid w:val="00242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F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F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FDD"/>
    <w:rPr>
      <w:b/>
      <w:spacing w:val="0"/>
    </w:rPr>
  </w:style>
  <w:style w:type="paragraph" w:customStyle="1" w:styleId="SuperTitle">
    <w:name w:val="SuperTitle"/>
    <w:basedOn w:val="Title"/>
    <w:rsid w:val="00242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FDD"/>
    <w:rPr>
      <w:i/>
    </w:rPr>
  </w:style>
  <w:style w:type="paragraph" w:styleId="Caption">
    <w:name w:val="caption"/>
    <w:basedOn w:val="BodyText"/>
    <w:next w:val="Normal"/>
    <w:qFormat/>
    <w:rsid w:val="00242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FDD"/>
  </w:style>
  <w:style w:type="paragraph" w:styleId="TableofFigures">
    <w:name w:val="table of figures"/>
    <w:basedOn w:val="Normal"/>
    <w:next w:val="Normal"/>
    <w:semiHidden/>
    <w:rsid w:val="00242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F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FDD"/>
    <w:rPr>
      <w:rFonts w:ascii="Wingdings" w:hAnsi="Wingdings"/>
    </w:rPr>
  </w:style>
  <w:style w:type="paragraph" w:customStyle="1" w:styleId="TableHeading">
    <w:name w:val="Table Heading"/>
    <w:basedOn w:val="HeadingBase"/>
    <w:rsid w:val="00242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FDD"/>
    <w:rPr>
      <w:color w:val="0033CC"/>
      <w:u w:val="none"/>
    </w:rPr>
  </w:style>
  <w:style w:type="paragraph" w:customStyle="1" w:styleId="BodyTextRight">
    <w:name w:val="Body Text Right"/>
    <w:basedOn w:val="BodyText"/>
    <w:rsid w:val="00242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FDD"/>
    <w:rPr>
      <w:sz w:val="32"/>
    </w:rPr>
  </w:style>
  <w:style w:type="paragraph" w:customStyle="1" w:styleId="HeadingProcedure">
    <w:name w:val="Heading Procedure"/>
    <w:basedOn w:val="HeadingBase"/>
    <w:next w:val="Normal"/>
    <w:rsid w:val="00242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FDD"/>
    <w:pPr>
      <w:spacing w:before="60" w:after="60"/>
    </w:pPr>
  </w:style>
  <w:style w:type="paragraph" w:styleId="ListContinue">
    <w:name w:val="List Continue"/>
    <w:basedOn w:val="List"/>
    <w:rsid w:val="00242FDD"/>
    <w:pPr>
      <w:ind w:firstLine="0"/>
    </w:pPr>
  </w:style>
  <w:style w:type="paragraph" w:customStyle="1" w:styleId="ListNote">
    <w:name w:val="List Note"/>
    <w:basedOn w:val="List"/>
    <w:rsid w:val="00242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FDD"/>
    <w:rPr>
      <w:rFonts w:ascii="Courier New" w:hAnsi="Courier New"/>
    </w:rPr>
  </w:style>
  <w:style w:type="paragraph" w:customStyle="1" w:styleId="NoteBullet">
    <w:name w:val="Note Bullet"/>
    <w:basedOn w:val="Note"/>
    <w:rsid w:val="00242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F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FDD"/>
    <w:rPr>
      <w:b/>
      <w:smallCaps/>
    </w:rPr>
  </w:style>
  <w:style w:type="paragraph" w:customStyle="1" w:styleId="TableListNumber">
    <w:name w:val="Table List Number"/>
    <w:basedOn w:val="ListNumber"/>
    <w:rsid w:val="00242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FDD"/>
    <w:pPr>
      <w:numPr>
        <w:numId w:val="9"/>
      </w:numPr>
    </w:pPr>
  </w:style>
  <w:style w:type="paragraph" w:customStyle="1" w:styleId="ListAlpha2">
    <w:name w:val="List Alpha 2"/>
    <w:basedOn w:val="List2"/>
    <w:rsid w:val="00242FDD"/>
    <w:pPr>
      <w:numPr>
        <w:numId w:val="8"/>
      </w:numPr>
    </w:pPr>
  </w:style>
  <w:style w:type="paragraph" w:styleId="List2">
    <w:name w:val="List 2"/>
    <w:basedOn w:val="BodyText"/>
    <w:rsid w:val="00242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F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F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FDD"/>
    <w:pPr>
      <w:numPr>
        <w:numId w:val="4"/>
      </w:numPr>
    </w:pPr>
  </w:style>
  <w:style w:type="paragraph" w:styleId="ListContinue2">
    <w:name w:val="List Continue 2"/>
    <w:basedOn w:val="List2"/>
    <w:rsid w:val="00242FDD"/>
    <w:pPr>
      <w:ind w:firstLine="0"/>
    </w:pPr>
  </w:style>
  <w:style w:type="paragraph" w:styleId="ListContinue3">
    <w:name w:val="List Continue 3"/>
    <w:basedOn w:val="List3"/>
    <w:rsid w:val="00242FDD"/>
    <w:pPr>
      <w:ind w:left="1021" w:firstLine="0"/>
    </w:pPr>
  </w:style>
  <w:style w:type="paragraph" w:styleId="ListContinue4">
    <w:name w:val="List Continue 4"/>
    <w:basedOn w:val="List4"/>
    <w:rsid w:val="00242FDD"/>
    <w:pPr>
      <w:ind w:firstLine="0"/>
    </w:pPr>
  </w:style>
  <w:style w:type="paragraph" w:styleId="ListContinue5">
    <w:name w:val="List Continue 5"/>
    <w:basedOn w:val="List5"/>
    <w:rsid w:val="00242FDD"/>
    <w:pPr>
      <w:ind w:firstLine="0"/>
    </w:pPr>
  </w:style>
  <w:style w:type="paragraph" w:styleId="ListNumber3">
    <w:name w:val="List Number 3"/>
    <w:basedOn w:val="List3"/>
    <w:rsid w:val="00242FDD"/>
    <w:pPr>
      <w:numPr>
        <w:numId w:val="5"/>
      </w:numPr>
    </w:pPr>
  </w:style>
  <w:style w:type="paragraph" w:styleId="ListNumber4">
    <w:name w:val="List Number 4"/>
    <w:basedOn w:val="List4"/>
    <w:rsid w:val="00242FDD"/>
    <w:pPr>
      <w:numPr>
        <w:numId w:val="6"/>
      </w:numPr>
    </w:pPr>
  </w:style>
  <w:style w:type="paragraph" w:styleId="ListNumber5">
    <w:name w:val="List Number 5"/>
    <w:basedOn w:val="List5"/>
    <w:rsid w:val="00242FDD"/>
    <w:pPr>
      <w:numPr>
        <w:numId w:val="7"/>
      </w:numPr>
    </w:pPr>
  </w:style>
  <w:style w:type="paragraph" w:styleId="BlockText">
    <w:name w:val="Block Text"/>
    <w:basedOn w:val="Normal"/>
    <w:rsid w:val="00242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FDD"/>
    <w:rPr>
      <w:sz w:val="16"/>
      <w:vertAlign w:val="superscript"/>
    </w:rPr>
  </w:style>
  <w:style w:type="character" w:customStyle="1" w:styleId="Symbols">
    <w:name w:val="Symbols"/>
    <w:basedOn w:val="DefaultParagraphFont"/>
    <w:rsid w:val="00242FDD"/>
    <w:rPr>
      <w:rFonts w:ascii="Symbol" w:hAnsi="Symbol"/>
    </w:rPr>
  </w:style>
  <w:style w:type="character" w:customStyle="1" w:styleId="MenuOptions">
    <w:name w:val="Menu Options"/>
    <w:basedOn w:val="DefaultParagraphFont"/>
    <w:rsid w:val="00242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FDD"/>
    <w:rPr>
      <w:b/>
    </w:rPr>
  </w:style>
  <w:style w:type="character" w:customStyle="1" w:styleId="Underlined">
    <w:name w:val="Underlined"/>
    <w:basedOn w:val="DefaultParagraphFont"/>
    <w:rsid w:val="00242FDD"/>
    <w:rPr>
      <w:u w:val="single"/>
    </w:rPr>
  </w:style>
  <w:style w:type="paragraph" w:customStyle="1" w:styleId="TableBodyTextRight">
    <w:name w:val="Table Body Text Right"/>
    <w:basedOn w:val="TableBodyText"/>
    <w:rsid w:val="00242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FDD"/>
    <w:rPr>
      <w:sz w:val="18"/>
    </w:rPr>
  </w:style>
  <w:style w:type="paragraph" w:customStyle="1" w:styleId="BodySmallRight">
    <w:name w:val="Body Small Right"/>
    <w:basedOn w:val="BodyTextRight"/>
    <w:rsid w:val="00242FDD"/>
    <w:rPr>
      <w:sz w:val="18"/>
      <w:szCs w:val="18"/>
    </w:rPr>
  </w:style>
  <w:style w:type="paragraph" w:customStyle="1" w:styleId="MarginEdition">
    <w:name w:val="Margin Edition"/>
    <w:basedOn w:val="MarginNote"/>
    <w:rsid w:val="00242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FDD"/>
    <w:rPr>
      <w:sz w:val="2"/>
      <w:szCs w:val="2"/>
    </w:rPr>
  </w:style>
  <w:style w:type="character" w:customStyle="1" w:styleId="Small">
    <w:name w:val="Small"/>
    <w:basedOn w:val="DefaultParagraphFont"/>
    <w:rsid w:val="00242FDD"/>
    <w:rPr>
      <w:sz w:val="16"/>
    </w:rPr>
  </w:style>
  <w:style w:type="paragraph" w:customStyle="1" w:styleId="WideTable">
    <w:name w:val="Wide Table"/>
    <w:basedOn w:val="Normal"/>
    <w:rsid w:val="00242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FDD"/>
  </w:style>
  <w:style w:type="paragraph" w:styleId="Quote">
    <w:name w:val="Quote"/>
    <w:basedOn w:val="Heading1"/>
    <w:link w:val="QuoteChar"/>
    <w:qFormat/>
    <w:rsid w:val="00242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FDD"/>
    <w:pPr>
      <w:pageBreakBefore/>
    </w:pPr>
  </w:style>
  <w:style w:type="paragraph" w:customStyle="1" w:styleId="Border">
    <w:name w:val="Border"/>
    <w:basedOn w:val="Normal"/>
    <w:qFormat/>
    <w:rsid w:val="00242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FDD"/>
    <w:rPr>
      <w:u w:val="single"/>
    </w:rPr>
  </w:style>
  <w:style w:type="character" w:customStyle="1" w:styleId="BoldandItalics">
    <w:name w:val="Bold and Italics"/>
    <w:qFormat/>
    <w:rsid w:val="00242FDD"/>
    <w:rPr>
      <w:b/>
      <w:i/>
      <w:u w:val="none"/>
    </w:rPr>
  </w:style>
  <w:style w:type="paragraph" w:styleId="BalloonText">
    <w:name w:val="Balloon Text"/>
    <w:basedOn w:val="Normal"/>
    <w:link w:val="BalloonTextChar"/>
    <w:rsid w:val="00242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FDD"/>
    <w:pPr>
      <w:spacing w:before="0" w:after="0"/>
    </w:pPr>
  </w:style>
  <w:style w:type="paragraph" w:customStyle="1" w:styleId="BodyTextBold">
    <w:name w:val="Body Text Bold"/>
    <w:basedOn w:val="BodyText"/>
    <w:qFormat/>
    <w:rsid w:val="00242FDD"/>
    <w:rPr>
      <w:b/>
    </w:rPr>
  </w:style>
  <w:style w:type="character" w:styleId="Hyperlink">
    <w:name w:val="Hyperlink"/>
    <w:basedOn w:val="DefaultParagraphFont"/>
    <w:uiPriority w:val="99"/>
    <w:unhideWhenUsed/>
    <w:rsid w:val="005E7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3257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CPPFES2048 Receive and dispatch scheduled gaseous fire-extinguishing agents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