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A2F" w:rsidP="00A93A2F">
      <w:pPr>
        <w:pStyle w:val="Title"/>
      </w:pPr>
      <w:r>
        <w:fldChar w:fldCharType="begin"/>
      </w:r>
      <w:r>
        <w:instrText xml:space="preserve"> TITLE   \* MERGEFORMAT </w:instrText>
      </w:r>
      <w:r>
        <w:fldChar w:fldCharType="separate"/>
      </w:r>
      <w:r>
        <w:t>CPPFES2047 Inspect and test control and indicating equipment</w:t>
      </w:r>
      <w:r>
        <w:fldChar w:fldCharType="end"/>
      </w:r>
    </w:p>
    <w:p w:rsidR="00A93A2F" w:rsidP="00A93A2F">
      <w:pPr>
        <w:pStyle w:val="Version"/>
        <w:sectPr w:rsidSect="004D0C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C97" w:rsidP="004D0C97">
      <w:pPr>
        <w:pStyle w:val="SuperHeading"/>
      </w:pPr>
      <w:r w:rsidRPr="004D0C97">
        <w:t>CPPFES2047 Inspect and test control and indicating equipment</w:t>
      </w:r>
    </w:p>
    <w:p w:rsidR="00000000" w:rsidRPr="004D0C97" w:rsidP="004D0C97">
      <w:pPr>
        <w:pStyle w:val="Heading1"/>
      </w:pPr>
      <w:bookmarkStart w:id="1" w:name="O_1163608"/>
      <w:bookmarkEnd w:id="1"/>
      <w:r w:rsidRPr="004D0C97">
        <w:t>Modification History</w:t>
      </w:r>
    </w:p>
    <w:tbl>
      <w:tblPr>
        <w:tblW w:w="0" w:type="auto"/>
        <w:tblLayout w:type="fixed"/>
        <w:tblCellMar>
          <w:left w:w="62" w:type="dxa"/>
          <w:right w:w="62" w:type="dxa"/>
        </w:tblCellMar>
        <w:tblLook w:val="0000"/>
      </w:tblPr>
      <w:tblGrid>
        <w:gridCol w:w="1310"/>
        <w:gridCol w:w="7592"/>
      </w:tblGrid>
      <w:tr w:rsidTr="004D0C97">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Release 1</w:t>
            </w:r>
          </w:p>
        </w:tc>
        <w:tc>
          <w:tcPr>
            <w:tcW w:w="7592" w:type="dxa"/>
            <w:tcBorders>
              <w:top w:val="nil"/>
              <w:left w:val="nil"/>
              <w:bottom w:val="nil"/>
              <w:right w:val="nil"/>
            </w:tcBorders>
            <w:tcMar>
              <w:top w:w="0" w:type="dxa"/>
              <w:left w:w="62" w:type="dxa"/>
              <w:bottom w:w="0" w:type="dxa"/>
              <w:right w:w="62" w:type="dxa"/>
            </w:tcMar>
          </w:tcPr>
          <w:p w:rsidR="00000000" w:rsidRPr="004D0C97" w:rsidP="004D0C97">
            <w:pPr>
              <w:pStyle w:val="BodyText"/>
            </w:pPr>
            <w:r w:rsidRPr="004D0C97">
              <w:t>This version first released with CPP Property Services Training Package Release 13.0.</w:t>
            </w:r>
          </w:p>
          <w:p w:rsidR="00000000" w:rsidRPr="004D0C97" w:rsidP="004D0C97">
            <w:pPr>
              <w:pStyle w:val="BodyText"/>
            </w:pPr>
            <w:r w:rsidRPr="004D0C97">
              <w:t>Supersedes and is equivalent to CPPFES2047A Inspect and test control and indicating equipment.  Updated to meet the Stand</w:t>
            </w:r>
            <w:r w:rsidRPr="004D0C97">
              <w:t>ards for Training Packages 2012.</w:t>
            </w:r>
          </w:p>
        </w:tc>
      </w:tr>
    </w:tbl>
    <w:p w:rsidR="00000000" w:rsidRPr="004D0C97" w:rsidP="004D0C97">
      <w:pPr>
        <w:pStyle w:val="BodyText"/>
      </w:pPr>
    </w:p>
    <w:p w:rsidR="00000000" w:rsidRPr="004D0C97" w:rsidP="004D0C97">
      <w:pPr>
        <w:pStyle w:val="AllowPageBreak"/>
      </w:pPr>
    </w:p>
    <w:p w:rsidR="00000000" w:rsidRPr="004D0C97" w:rsidP="004D0C97">
      <w:pPr>
        <w:pStyle w:val="Heading1"/>
      </w:pPr>
      <w:bookmarkStart w:id="2" w:name="O_1163614"/>
      <w:bookmarkEnd w:id="2"/>
      <w:r w:rsidRPr="004D0C97">
        <w:t>Application</w:t>
      </w:r>
    </w:p>
    <w:p w:rsidR="00000000" w:rsidRPr="004D0C97" w:rsidP="00A93A2F">
      <w:pPr>
        <w:pStyle w:val="BodyText"/>
      </w:pPr>
      <w:r w:rsidRPr="004D0C97">
        <w:t>This unit of competency specifies the skills and knowledge required to complete routine monthly and six-monthly inspection and testing procedures to verify that control and indicating equipm</w:t>
      </w:r>
      <w:r w:rsidRPr="004D0C97">
        <w:t xml:space="preserve">ent (CIE) for a fire alarm system functions as intended. It includes working safely, isolating and resetting CIE, conducting compliance tests, visually inspecting, identifying non-compliance defects, and fulfilling mandatory reporting requirement. Service </w:t>
      </w:r>
      <w:r w:rsidRPr="004D0C97">
        <w:t>activities are conducted in compliance with requirements of the relevant Australian Standards and National Construction Code (NCC).</w:t>
      </w:r>
    </w:p>
    <w:p w:rsidR="00000000" w:rsidRPr="004D0C97" w:rsidP="00A93A2F">
      <w:pPr>
        <w:pStyle w:val="BodyText"/>
      </w:pPr>
      <w:r w:rsidRPr="004D0C97">
        <w:t>The skills and knowledge described in this unit do not require an electrical licence or an Australian Communications and Med</w:t>
      </w:r>
      <w:r w:rsidRPr="004D0C97">
        <w:t>ia Authority (ACMA) cabling licence to practise. The unit does not cover any installation, replacement, maintenance or repair functions that are restricted to licensed trades or occupations.</w:t>
      </w:r>
    </w:p>
    <w:p w:rsidR="00000000" w:rsidRPr="004D0C97" w:rsidP="00A93A2F">
      <w:pPr>
        <w:pStyle w:val="BodyText"/>
      </w:pPr>
      <w:r w:rsidRPr="004D0C97">
        <w:t>The unit is suitable for those with basic skills and knowledge un</w:t>
      </w:r>
      <w:r w:rsidRPr="004D0C97">
        <w:t>dertaking routine work tasks under the direction of more experienced workers.</w:t>
      </w:r>
    </w:p>
    <w:p w:rsidR="00000000" w:rsidRPr="004D0C97" w:rsidP="00A93A2F">
      <w:pPr>
        <w:pStyle w:val="BodyText"/>
      </w:pPr>
      <w:r w:rsidRPr="004D0C97">
        <w:t xml:space="preserve">Ozone depleting substances (ODS) and synthetic greenhouse gases (SGG) are gaseous fire-extinguishing agents listed in Schedule 1 of the Ozone Protection and Synthetic Greenhouse </w:t>
      </w:r>
      <w:r w:rsidRPr="004D0C97">
        <w:t>Gas Management Act 1989 and by law, can only be handled by people who hold an appropriate extinguishing agent handling licence (EAHL). This unit supports one or more EAHLs prescribed under the Act. For further information, check with the relevant regulator</w:t>
      </w:r>
      <w:r w:rsidRPr="004D0C97">
        <w:t>y authority.</w:t>
      </w:r>
    </w:p>
    <w:p w:rsidR="00000000" w:rsidRPr="004D0C97" w:rsidP="004D0C97">
      <w:pPr>
        <w:pStyle w:val="Heading1"/>
      </w:pPr>
      <w:bookmarkStart w:id="3" w:name="O_1163613"/>
      <w:bookmarkEnd w:id="3"/>
      <w:r w:rsidRPr="004D0C97">
        <w:t>Pre-requisite Unit</w:t>
      </w:r>
    </w:p>
    <w:p w:rsidR="00000000" w:rsidRPr="004D0C97" w:rsidP="00A93A2F">
      <w:pPr>
        <w:pStyle w:val="BodyText"/>
      </w:pPr>
      <w:r w:rsidRPr="004D0C97">
        <w:t>Nil.</w:t>
      </w:r>
    </w:p>
    <w:p w:rsidR="00000000" w:rsidRPr="004D0C97" w:rsidP="004D0C97">
      <w:pPr>
        <w:pStyle w:val="Heading1"/>
      </w:pPr>
      <w:bookmarkStart w:id="4" w:name="O_1163612"/>
      <w:bookmarkEnd w:id="4"/>
      <w:r w:rsidRPr="004D0C97">
        <w:t>Unit Sector</w:t>
      </w:r>
    </w:p>
    <w:p w:rsidR="00000000" w:rsidRPr="004D0C97" w:rsidP="00A93A2F">
      <w:pPr>
        <w:pStyle w:val="BodyText"/>
      </w:pPr>
      <w:r w:rsidRPr="004D0C97">
        <w:t>Fire Protection Inspection and Testing</w:t>
      </w:r>
    </w:p>
    <w:p w:rsidR="00000000" w:rsidRPr="004D0C97" w:rsidP="004D0C97">
      <w:pPr>
        <w:pStyle w:val="Heading1"/>
      </w:pPr>
      <w:bookmarkStart w:id="5" w:name="O_1163611"/>
      <w:bookmarkEnd w:id="5"/>
      <w:r w:rsidRPr="004D0C9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D0C9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Performance criteria describe what needs to be done to demonstrate achievement of the element.</w:t>
            </w:r>
          </w:p>
        </w:tc>
      </w:tr>
      <w:tr w:rsidTr="004D0C9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1</w:t>
            </w:r>
          </w:p>
        </w:tc>
        <w:tc>
          <w:tcPr>
            <w:tcW w:w="2357" w:type="dxa"/>
            <w:vMerge w:val="restart"/>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Plan and prepare for service operation.</w:t>
            </w: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1.1</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Read work instructions, installation drawings and specifications to clarify service timeframes, client needs, and</w:t>
            </w:r>
            <w:r w:rsidRPr="004D0C97">
              <w:t xml:space="preserve"> location of system components and materials.</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1.2</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Discuss planned service procedures with relevant persons to clarify client needs and expectations.</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1.3</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Plan work activities to prevent O</w:t>
            </w:r>
            <w:r w:rsidRPr="004D0C97">
              <w:t>DS and SGG emissions and comply with relevant Australian Standards, NCC, regulations, work health and safety (WHS) and workplace requirements.</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1.4</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Arrange inspection and test procedures to suit CIE according to manufacturer, regulatory and workplace req</w:t>
            </w:r>
            <w:r w:rsidRPr="004D0C97">
              <w:t>uirements.</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1.5</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Confirm and access documentation required to conduct tests to meet regulatory and workplace requirements.</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1.6</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Select, check and use required test devices, tools and equipment, including personal protective equipment (PPE).</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1.7</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Arrange access to worksite and communicate with responsible entity and affected persons to advise duration and impact of planned service procedures and to ensure alternative safety arrangements are implemented.</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1.8</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Prepare to follow ODS, SGG and WHS pol</w:t>
            </w:r>
            <w:r w:rsidRPr="004D0C97">
              <w:t>icies and procedures and apply required risk control measures when inspecting and testing CIE.</w:t>
            </w:r>
          </w:p>
        </w:tc>
      </w:tr>
      <w:tr w:rsidTr="004D0C9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D0C97">
            <w:pPr>
              <w:pStyle w:val="BodyText"/>
              <w:rPr>
                <w:lang w:val="en-NZ"/>
              </w:rPr>
            </w:pPr>
          </w:p>
        </w:tc>
      </w:tr>
      <w:tr w:rsidTr="004D0C9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2</w:t>
            </w:r>
          </w:p>
        </w:tc>
        <w:tc>
          <w:tcPr>
            <w:tcW w:w="2357" w:type="dxa"/>
            <w:vMerge w:val="restart"/>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Inspect CIE.</w:t>
            </w: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2.1</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Identify CIE functions to be used to conduct routine tests according to manufacturer requirements and relevant maintenance schedule.</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2.2</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Isolate alarm zone circuits, plant and other system interfaces to allow conduct of maintenance activities according to ODS, SGG and WHS policies and procedures.</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2.3</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 xml:space="preserve">Isolate circuits and actuators according to regulatory and </w:t>
            </w:r>
            <w:r w:rsidRPr="004D0C97">
              <w:t>workplace requirements.</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2.4</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Conduct visual inspection according to the monthly and six-monthly schedules of the relevant Australian Standard.</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2.5</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Validate CIE inspection results according to requirements of the relevant Australian Standard.</w:t>
            </w:r>
          </w:p>
        </w:tc>
      </w:tr>
      <w:tr w:rsidTr="004D0C9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D0C97">
            <w:pPr>
              <w:pStyle w:val="BodyText"/>
              <w:rPr>
                <w:lang w:val="en-NZ"/>
              </w:rPr>
            </w:pPr>
          </w:p>
        </w:tc>
      </w:tr>
      <w:tr w:rsidTr="004D0C9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3</w:t>
            </w:r>
          </w:p>
        </w:tc>
        <w:tc>
          <w:tcPr>
            <w:tcW w:w="2357" w:type="dxa"/>
            <w:vMerge w:val="restart"/>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Test CIE.</w:t>
            </w: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3.1</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Isolate circuits, actuators, back-to-base facilities and other system interfaces according to regulatory and workplace requirements.</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3.2</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Conduct checks to confirm alarm zone circuits, plant and other system interfaces are isolated and system cannot be activated during testing according to workplace requirements.</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3.3</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Conduct monthly and six-monthly tests according to the relevant Australi</w:t>
            </w:r>
            <w:r w:rsidRPr="004D0C97">
              <w:t>an Standard.</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3.4</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Check CIE and components to verify functionality in accordance with manufacturer requirements and final design documentation.</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3.5</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Discuss methods f</w:t>
            </w:r>
            <w:r w:rsidRPr="004D0C97">
              <w:t>or dealing with unexpected situations with relevant persons and, where required, obtain approval from authorised persons to deal safely with unexpected situations.</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3.6</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Record results of tests, discussions and actions taken according to regulatory and wo</w:t>
            </w:r>
            <w:r w:rsidRPr="004D0C97">
              <w:t>rkplace requirements.</w:t>
            </w:r>
          </w:p>
        </w:tc>
      </w:tr>
      <w:tr w:rsidTr="004D0C9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D0C97">
            <w:pPr>
              <w:pStyle w:val="BodyText"/>
              <w:rPr>
                <w:lang w:val="en-NZ"/>
              </w:rPr>
            </w:pPr>
          </w:p>
        </w:tc>
      </w:tr>
      <w:tr w:rsidTr="004D0C9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4</w:t>
            </w:r>
          </w:p>
        </w:tc>
        <w:tc>
          <w:tcPr>
            <w:tcW w:w="2357" w:type="dxa"/>
            <w:vMerge w:val="restart"/>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Finalise service operation.</w:t>
            </w: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4.1</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Reset CIE and other interfaced equipment and verify system as fully operational with no alarms present.</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4.2</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Complete service documentation and report outstanding defects, non-compliances and recommended rectifications according to Australian Standards, regulatory and workplace requirements.</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4.3</w:t>
            </w:r>
          </w:p>
        </w:tc>
        <w:tc>
          <w:tcPr>
            <w:tcW w:w="5659"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Check tools, equipment and test devices for faults, wear or damage and rectify or report problems according to workplace requirements.</w:t>
            </w:r>
          </w:p>
        </w:tc>
      </w:tr>
      <w:tr w:rsidTr="004D0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0C97">
            <w:pPr>
              <w:pStyle w:val="BodyText"/>
              <w:rPr>
                <w:lang w:val="en-NZ"/>
              </w:rPr>
            </w:pPr>
            <w:r w:rsidRPr="004D0C97">
              <w:t>4.4</w:t>
            </w:r>
          </w:p>
        </w:tc>
        <w:tc>
          <w:tcPr>
            <w:tcW w:w="5659" w:type="dxa"/>
            <w:tcBorders>
              <w:top w:val="nil"/>
              <w:left w:val="nil"/>
              <w:bottom w:val="nil"/>
              <w:right w:val="nil"/>
            </w:tcBorders>
            <w:tcMar>
              <w:top w:w="0" w:type="dxa"/>
              <w:left w:w="62" w:type="dxa"/>
              <w:bottom w:w="0" w:type="dxa"/>
              <w:right w:w="62" w:type="dxa"/>
            </w:tcMar>
          </w:tcPr>
          <w:p w:rsidR="00000000" w:rsidRPr="004D0C97" w:rsidP="004D0C97">
            <w:pPr>
              <w:pStyle w:val="BodyText"/>
            </w:pPr>
            <w:r w:rsidRPr="004D0C97">
              <w:t>Leave client premises in a safe, clean and tidy condition.</w:t>
            </w:r>
          </w:p>
        </w:tc>
      </w:tr>
    </w:tbl>
    <w:p w:rsidR="00000000" w:rsidRPr="004D0C97" w:rsidP="004D0C97">
      <w:pPr>
        <w:pStyle w:val="BodyText"/>
      </w:pPr>
    </w:p>
    <w:p w:rsidR="00000000" w:rsidRPr="004D0C97" w:rsidP="004D0C97">
      <w:pPr>
        <w:pStyle w:val="AllowPageBreak"/>
      </w:pPr>
    </w:p>
    <w:p w:rsidR="00000000" w:rsidRPr="004D0C97" w:rsidP="004D0C97">
      <w:pPr>
        <w:pStyle w:val="Heading1"/>
      </w:pPr>
      <w:bookmarkStart w:id="6" w:name="O_1163610"/>
      <w:bookmarkEnd w:id="6"/>
      <w:r w:rsidRPr="004D0C97">
        <w:t>Foundation Skills</w:t>
      </w:r>
    </w:p>
    <w:p w:rsidR="00000000" w:rsidRPr="004D0C97" w:rsidP="00A93A2F">
      <w:pPr>
        <w:pStyle w:val="BodyText"/>
      </w:pPr>
      <w:r w:rsidRPr="004D0C97">
        <w:t>Foundation skill</w:t>
      </w:r>
      <w:r w:rsidRPr="004D0C97">
        <w:t>s essential to performance are explicit in the performance criteria of this unit of competency.</w:t>
      </w:r>
    </w:p>
    <w:p w:rsidR="00000000" w:rsidRPr="004D0C97" w:rsidP="004D0C97">
      <w:pPr>
        <w:pStyle w:val="Heading1"/>
      </w:pPr>
      <w:bookmarkStart w:id="7" w:name="O_1163609"/>
      <w:bookmarkEnd w:id="7"/>
      <w:r w:rsidRPr="004D0C97">
        <w:t>Unit Mapping Information</w:t>
      </w:r>
    </w:p>
    <w:p w:rsidR="00000000" w:rsidRPr="004D0C97" w:rsidP="00A93A2F">
      <w:pPr>
        <w:pStyle w:val="BodyText"/>
      </w:pPr>
      <w:r w:rsidRPr="004D0C97">
        <w:t>Supersedes and is equivalent to CPPFES2047A Inspect and test control and indicating equipment.</w:t>
      </w:r>
    </w:p>
    <w:p w:rsidR="00000000" w:rsidRPr="004D0C97" w:rsidP="004D0C97">
      <w:pPr>
        <w:pStyle w:val="Heading1"/>
      </w:pPr>
      <w:bookmarkStart w:id="8" w:name="O_1163602"/>
      <w:bookmarkEnd w:id="8"/>
      <w:r w:rsidRPr="004D0C97">
        <w:t>Li</w:t>
      </w:r>
      <w:r w:rsidRPr="004D0C97">
        <w:t>nks</w:t>
      </w:r>
    </w:p>
    <w:p w:rsidR="00000000" w:rsidRPr="004D0C97" w:rsidP="00A93A2F">
      <w:pPr>
        <w:pStyle w:val="BodyText"/>
      </w:pPr>
      <w:r w:rsidRPr="004D0C9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B3DEE">
        <w:rPr>
          <w:rStyle w:val="Hyperlink"/>
        </w:rPr>
        <w:t>https://vetnet.gov.au/Pages/TrainingDocs.aspx?q=6f3f9672-30e8-4835-b348-205dfcf13d9b</w:t>
      </w:r>
      <w:r>
        <w:fldChar w:fldCharType="end"/>
      </w:r>
    </w:p>
    <w:p w:rsidR="00000000" w:rsidRPr="004D0C97" w:rsidP="004D0C97"/>
    <w:sectPr w:rsidSect="004D0C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97" w:rsidRPr="00A93A2F" w:rsidP="00A93A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A2F" w:rsidP="004D0C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3A2F" w:rsidP="004D0C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A93A2F" w:rsidP="004D0C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A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C97" w:rsidRPr="00A93A2F" w:rsidP="00A93A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A2F" w:rsidRPr="002D2AF8" w:rsidP="004D0C97">
    <w:pPr>
      <w:pStyle w:val="Header"/>
      <w:framePr w:wrap="around"/>
    </w:pPr>
    <w:r>
      <w:fldChar w:fldCharType="begin"/>
    </w:r>
    <w:r>
      <w:instrText xml:space="preserve"> TITLE   \* MERGEFORMAT </w:instrText>
    </w:r>
    <w:r>
      <w:fldChar w:fldCharType="separate"/>
    </w:r>
    <w:r>
      <w:t>CPPFES2047 Inspect and test control and indicating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93A2F" w:rsidP="004D0C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C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C97"/>
    <w:pPr>
      <w:spacing w:before="360" w:after="60"/>
      <w:outlineLvl w:val="0"/>
    </w:pPr>
    <w:rPr>
      <w:sz w:val="32"/>
    </w:rPr>
  </w:style>
  <w:style w:type="paragraph" w:styleId="Heading2">
    <w:name w:val="heading 2"/>
    <w:basedOn w:val="HeadingBase"/>
    <w:next w:val="BodyText"/>
    <w:link w:val="Heading2Char"/>
    <w:qFormat/>
    <w:rsid w:val="004D0C97"/>
    <w:pPr>
      <w:keepLines/>
      <w:spacing w:before="240" w:after="120"/>
      <w:outlineLvl w:val="1"/>
    </w:pPr>
    <w:rPr>
      <w:sz w:val="28"/>
      <w:szCs w:val="40"/>
    </w:rPr>
  </w:style>
  <w:style w:type="paragraph" w:styleId="Heading3">
    <w:name w:val="heading 3"/>
    <w:basedOn w:val="HeadingBase"/>
    <w:next w:val="BodyText"/>
    <w:link w:val="Heading3Char"/>
    <w:qFormat/>
    <w:rsid w:val="004D0C97"/>
    <w:pPr>
      <w:spacing w:before="180" w:after="120"/>
      <w:outlineLvl w:val="2"/>
    </w:pPr>
    <w:rPr>
      <w:spacing w:val="-10"/>
      <w:kern w:val="32"/>
    </w:rPr>
  </w:style>
  <w:style w:type="paragraph" w:styleId="Heading4">
    <w:name w:val="heading 4"/>
    <w:basedOn w:val="HeadingBase"/>
    <w:next w:val="BodyText"/>
    <w:link w:val="Heading4Char"/>
    <w:qFormat/>
    <w:rsid w:val="004D0C97"/>
    <w:pPr>
      <w:spacing w:before="160" w:after="120"/>
      <w:outlineLvl w:val="3"/>
    </w:pPr>
    <w:rPr>
      <w:sz w:val="22"/>
    </w:rPr>
  </w:style>
  <w:style w:type="paragraph" w:styleId="Heading5">
    <w:name w:val="heading 5"/>
    <w:basedOn w:val="HeadingBase"/>
    <w:next w:val="Normal"/>
    <w:link w:val="Heading5Char"/>
    <w:qFormat/>
    <w:rsid w:val="004D0C97"/>
    <w:pPr>
      <w:spacing w:before="80"/>
      <w:outlineLvl w:val="4"/>
    </w:pPr>
    <w:rPr>
      <w:color w:val="918585"/>
      <w:sz w:val="20"/>
    </w:rPr>
  </w:style>
  <w:style w:type="paragraph" w:styleId="Heading6">
    <w:name w:val="heading 6"/>
    <w:basedOn w:val="HeadingBase"/>
    <w:next w:val="Normal"/>
    <w:link w:val="Heading6Char"/>
    <w:qFormat/>
    <w:rsid w:val="004D0C97"/>
    <w:pPr>
      <w:spacing w:before="60"/>
      <w:outlineLvl w:val="5"/>
    </w:pPr>
    <w:rPr>
      <w:color w:val="918585"/>
      <w:sz w:val="20"/>
    </w:rPr>
  </w:style>
  <w:style w:type="paragraph" w:styleId="Heading7">
    <w:name w:val="heading 7"/>
    <w:basedOn w:val="Normal"/>
    <w:next w:val="Normal"/>
    <w:link w:val="Heading7Char"/>
    <w:qFormat/>
    <w:rsid w:val="004D0C97"/>
    <w:pPr>
      <w:ind w:left="720"/>
      <w:outlineLvl w:val="6"/>
    </w:pPr>
    <w:rPr>
      <w:i/>
    </w:rPr>
  </w:style>
  <w:style w:type="paragraph" w:styleId="Heading8">
    <w:name w:val="heading 8"/>
    <w:basedOn w:val="Normal"/>
    <w:next w:val="Normal"/>
    <w:link w:val="Heading8Char"/>
    <w:qFormat/>
    <w:rsid w:val="004D0C97"/>
    <w:pPr>
      <w:ind w:left="720"/>
      <w:outlineLvl w:val="7"/>
    </w:pPr>
    <w:rPr>
      <w:i/>
    </w:rPr>
  </w:style>
  <w:style w:type="paragraph" w:styleId="Heading9">
    <w:name w:val="heading 9"/>
    <w:basedOn w:val="Normal"/>
    <w:next w:val="Normal"/>
    <w:link w:val="Heading9Char"/>
    <w:qFormat/>
    <w:rsid w:val="004D0C97"/>
    <w:pPr>
      <w:ind w:left="720"/>
      <w:outlineLvl w:val="8"/>
    </w:pPr>
    <w:rPr>
      <w:i/>
    </w:rPr>
  </w:style>
  <w:style w:type="character" w:default="1" w:styleId="DefaultParagraphFont">
    <w:name w:val="Default Paragraph Font"/>
    <w:uiPriority w:val="1"/>
    <w:unhideWhenUsed/>
    <w:rsid w:val="004D0C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C97"/>
  </w:style>
  <w:style w:type="character" w:customStyle="1" w:styleId="Heading1Char">
    <w:name w:val="Heading 1 Char"/>
    <w:basedOn w:val="DefaultParagraphFont"/>
    <w:link w:val="Heading1"/>
    <w:rsid w:val="004D0C97"/>
    <w:rPr>
      <w:rFonts w:ascii="Times New Roman" w:eastAsia="Times New Roman" w:hAnsi="Times New Roman" w:cs="Times New Roman"/>
      <w:b/>
      <w:sz w:val="32"/>
      <w:szCs w:val="20"/>
      <w:lang w:eastAsia="en-US"/>
    </w:rPr>
  </w:style>
  <w:style w:type="paragraph" w:styleId="BodyText">
    <w:name w:val="Body Text"/>
    <w:basedOn w:val="Normal"/>
    <w:link w:val="BodyTextChar"/>
    <w:rsid w:val="004D0C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C97"/>
    <w:rPr>
      <w:rFonts w:ascii="Times New Roman" w:eastAsia="Times New Roman" w:hAnsi="Times New Roman" w:cs="Times New Roman"/>
      <w:sz w:val="24"/>
      <w:lang w:eastAsia="en-US"/>
    </w:rPr>
  </w:style>
  <w:style w:type="paragraph" w:customStyle="1" w:styleId="SuperHeading">
    <w:name w:val="SuperHeading"/>
    <w:basedOn w:val="Normal"/>
    <w:rsid w:val="004D0C97"/>
    <w:pPr>
      <w:spacing w:before="240" w:after="120"/>
      <w:outlineLvl w:val="0"/>
    </w:pPr>
    <w:rPr>
      <w:rFonts w:ascii="Times New Roman" w:hAnsi="Times New Roman"/>
      <w:b/>
      <w:sz w:val="32"/>
    </w:rPr>
  </w:style>
  <w:style w:type="paragraph" w:customStyle="1" w:styleId="AllowPageBreak">
    <w:name w:val="AllowPageBreak"/>
    <w:rsid w:val="004D0C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0C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C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C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C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C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C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C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C97"/>
    <w:rPr>
      <w:rFonts w:ascii="Courier New" w:eastAsia="Times New Roman" w:hAnsi="Courier New" w:cs="Times New Roman"/>
      <w:i/>
      <w:szCs w:val="20"/>
      <w:lang w:eastAsia="en-US"/>
    </w:rPr>
  </w:style>
  <w:style w:type="paragraph" w:customStyle="1" w:styleId="HeadingBase">
    <w:name w:val="Heading Base"/>
    <w:rsid w:val="004D0C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C97"/>
    <w:pPr>
      <w:tabs>
        <w:tab w:val="right" w:leader="dot" w:pos="9072"/>
      </w:tabs>
      <w:ind w:left="567"/>
    </w:pPr>
    <w:rPr>
      <w:szCs w:val="22"/>
    </w:rPr>
  </w:style>
  <w:style w:type="paragraph" w:customStyle="1" w:styleId="TOCBase">
    <w:name w:val="TOC Base"/>
    <w:rsid w:val="004D0C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C97"/>
    <w:pPr>
      <w:tabs>
        <w:tab w:val="right" w:leader="dot" w:pos="9072"/>
      </w:tabs>
      <w:spacing w:before="40" w:after="40"/>
      <w:ind w:left="284"/>
    </w:pPr>
    <w:rPr>
      <w:rFonts w:ascii="Times New Roman" w:hAnsi="Times New Roman"/>
    </w:rPr>
  </w:style>
  <w:style w:type="paragraph" w:styleId="TOC1">
    <w:name w:val="toc 1"/>
    <w:basedOn w:val="TOCBase"/>
    <w:next w:val="Normal"/>
    <w:rsid w:val="004D0C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C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C97"/>
    <w:rPr>
      <w:rFonts w:ascii="Times New Roman" w:eastAsia="Times New Roman" w:hAnsi="Times New Roman" w:cs="Times New Roman"/>
      <w:sz w:val="16"/>
      <w:lang w:eastAsia="en-US"/>
    </w:rPr>
  </w:style>
  <w:style w:type="paragraph" w:styleId="Title">
    <w:name w:val="Title"/>
    <w:basedOn w:val="HeadingBase"/>
    <w:link w:val="TitleChar"/>
    <w:qFormat/>
    <w:rsid w:val="004D0C97"/>
    <w:pPr>
      <w:spacing w:before="5040"/>
      <w:jc w:val="center"/>
    </w:pPr>
    <w:rPr>
      <w:sz w:val="48"/>
      <w:szCs w:val="72"/>
      <w:lang w:val="en-US"/>
    </w:rPr>
  </w:style>
  <w:style w:type="character" w:customStyle="1" w:styleId="TitleChar">
    <w:name w:val="Title Char"/>
    <w:basedOn w:val="DefaultParagraphFont"/>
    <w:link w:val="Title"/>
    <w:rsid w:val="004D0C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C97"/>
    <w:pPr>
      <w:tabs>
        <w:tab w:val="left" w:pos="3600"/>
        <w:tab w:val="left" w:pos="3958"/>
      </w:tabs>
    </w:pPr>
  </w:style>
  <w:style w:type="paragraph" w:styleId="List">
    <w:name w:val="List"/>
    <w:basedOn w:val="BodyText"/>
    <w:next w:val="BodyText"/>
    <w:rsid w:val="004D0C97"/>
    <w:pPr>
      <w:tabs>
        <w:tab w:val="left" w:pos="340"/>
      </w:tabs>
      <w:spacing w:before="60" w:after="60"/>
      <w:ind w:left="340" w:hanging="340"/>
    </w:pPr>
  </w:style>
  <w:style w:type="paragraph" w:styleId="ListBullet">
    <w:name w:val="List Bullet"/>
    <w:basedOn w:val="List"/>
    <w:rsid w:val="004D0C97"/>
    <w:pPr>
      <w:numPr>
        <w:numId w:val="10"/>
      </w:numPr>
      <w:tabs>
        <w:tab w:val="clear" w:pos="340"/>
      </w:tabs>
      <w:spacing w:before="40" w:after="40"/>
    </w:pPr>
  </w:style>
  <w:style w:type="paragraph" w:customStyle="1" w:styleId="Note">
    <w:name w:val="Note"/>
    <w:basedOn w:val="BodyText"/>
    <w:rsid w:val="004D0C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0C97"/>
    <w:rPr>
      <w:b/>
      <w:spacing w:val="0"/>
    </w:rPr>
  </w:style>
  <w:style w:type="paragraph" w:customStyle="1" w:styleId="SuperTitle">
    <w:name w:val="SuperTitle"/>
    <w:basedOn w:val="Title"/>
    <w:rsid w:val="004D0C97"/>
    <w:pPr>
      <w:framePr w:wrap="auto" w:hAnchor="text" w:y="6049"/>
    </w:pPr>
    <w:rPr>
      <w:color w:val="000000"/>
      <w:sz w:val="40"/>
    </w:rPr>
  </w:style>
  <w:style w:type="paragraph" w:customStyle="1" w:styleId="TOCTitle">
    <w:name w:val="TOCTitle"/>
    <w:basedOn w:val="Heading1"/>
    <w:rsid w:val="004D0C97"/>
    <w:pPr>
      <w:spacing w:after="240"/>
      <w:jc w:val="center"/>
      <w:outlineLvl w:val="9"/>
    </w:pPr>
    <w:rPr>
      <w:caps/>
    </w:rPr>
  </w:style>
  <w:style w:type="paragraph" w:customStyle="1" w:styleId="Version">
    <w:name w:val="Version"/>
    <w:rsid w:val="004D0C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0C97"/>
    <w:pPr>
      <w:numPr>
        <w:numId w:val="11"/>
      </w:numPr>
      <w:tabs>
        <w:tab w:val="clear" w:pos="680"/>
      </w:tabs>
    </w:pPr>
  </w:style>
  <w:style w:type="paragraph" w:styleId="Index1">
    <w:name w:val="index 1"/>
    <w:basedOn w:val="Normal"/>
    <w:next w:val="Normal"/>
    <w:semiHidden/>
    <w:rsid w:val="004D0C97"/>
    <w:pPr>
      <w:keepNext w:val="0"/>
      <w:tabs>
        <w:tab w:val="right" w:pos="4176"/>
      </w:tabs>
      <w:ind w:left="198" w:hanging="198"/>
    </w:pPr>
    <w:rPr>
      <w:rFonts w:ascii="Garamond" w:hAnsi="Garamond"/>
    </w:rPr>
  </w:style>
  <w:style w:type="paragraph" w:styleId="IndexHeading">
    <w:name w:val="index heading"/>
    <w:basedOn w:val="Normal"/>
    <w:next w:val="Index1"/>
    <w:semiHidden/>
    <w:rsid w:val="004D0C97"/>
    <w:pPr>
      <w:spacing w:before="120" w:after="120"/>
    </w:pPr>
    <w:rPr>
      <w:rFonts w:ascii="Arial" w:hAnsi="Arial"/>
      <w:b/>
      <w:color w:val="918585"/>
      <w:sz w:val="24"/>
    </w:rPr>
  </w:style>
  <w:style w:type="paragraph" w:styleId="Header">
    <w:name w:val="header"/>
    <w:basedOn w:val="Normal"/>
    <w:link w:val="HeaderChar"/>
    <w:rsid w:val="004D0C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C97"/>
    <w:rPr>
      <w:rFonts w:ascii="Times New Roman" w:eastAsia="Times New Roman" w:hAnsi="Times New Roman" w:cs="Times New Roman"/>
      <w:sz w:val="16"/>
      <w:szCs w:val="20"/>
      <w:lang w:val="en-GB" w:eastAsia="en-US"/>
    </w:rPr>
  </w:style>
  <w:style w:type="paragraph" w:customStyle="1" w:styleId="Chapter">
    <w:name w:val="Chapter"/>
    <w:basedOn w:val="Normal"/>
    <w:rsid w:val="004D0C97"/>
    <w:pPr>
      <w:spacing w:before="240"/>
    </w:pPr>
    <w:rPr>
      <w:rFonts w:ascii="Times New Roman" w:hAnsi="Times New Roman"/>
      <w:smallCaps/>
      <w:spacing w:val="80"/>
      <w:sz w:val="28"/>
    </w:rPr>
  </w:style>
  <w:style w:type="paragraph" w:customStyle="1" w:styleId="InChapter">
    <w:name w:val="InChapter"/>
    <w:basedOn w:val="Heading3"/>
    <w:rsid w:val="004D0C97"/>
    <w:pPr>
      <w:spacing w:after="240"/>
      <w:outlineLvl w:val="9"/>
    </w:pPr>
    <w:rPr>
      <w:noProof/>
    </w:rPr>
  </w:style>
  <w:style w:type="paragraph" w:styleId="Index2">
    <w:name w:val="index 2"/>
    <w:basedOn w:val="Normal"/>
    <w:next w:val="Normal"/>
    <w:semiHidden/>
    <w:rsid w:val="004D0C97"/>
    <w:pPr>
      <w:tabs>
        <w:tab w:val="right" w:pos="4176"/>
      </w:tabs>
      <w:ind w:left="568" w:hanging="284"/>
    </w:pPr>
    <w:rPr>
      <w:rFonts w:ascii="Garamond" w:hAnsi="Garamond"/>
    </w:rPr>
  </w:style>
  <w:style w:type="paragraph" w:customStyle="1" w:styleId="Byline">
    <w:name w:val="Byline"/>
    <w:rsid w:val="004D0C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C97"/>
    <w:pPr>
      <w:tabs>
        <w:tab w:val="clear" w:pos="3600"/>
        <w:tab w:val="clear" w:pos="3958"/>
      </w:tabs>
      <w:jc w:val="right"/>
    </w:pPr>
  </w:style>
  <w:style w:type="character" w:styleId="Emphasis">
    <w:name w:val="Emphasis"/>
    <w:basedOn w:val="DefaultParagraphFont"/>
    <w:qFormat/>
    <w:rsid w:val="004D0C97"/>
    <w:rPr>
      <w:i/>
    </w:rPr>
  </w:style>
  <w:style w:type="paragraph" w:styleId="Caption">
    <w:name w:val="caption"/>
    <w:basedOn w:val="BodyText"/>
    <w:next w:val="Normal"/>
    <w:qFormat/>
    <w:rsid w:val="004D0C97"/>
    <w:pPr>
      <w:framePr w:w="2268" w:hSpace="181" w:vSpace="181" w:wrap="around" w:vAnchor="text" w:hAnchor="page" w:x="1135" w:y="285" w:anchorLock="1"/>
    </w:pPr>
    <w:rPr>
      <w:i/>
    </w:rPr>
  </w:style>
  <w:style w:type="paragraph" w:customStyle="1" w:styleId="MiniTOCTitle">
    <w:name w:val="MiniTOCTitle"/>
    <w:basedOn w:val="Heading4"/>
    <w:rsid w:val="004D0C97"/>
    <w:pPr>
      <w:spacing w:before="240"/>
      <w:outlineLvl w:val="9"/>
    </w:pPr>
    <w:rPr>
      <w:noProof/>
      <w:sz w:val="24"/>
    </w:rPr>
  </w:style>
  <w:style w:type="paragraph" w:customStyle="1" w:styleId="MiniTOCItem">
    <w:name w:val="MiniTOCItem"/>
    <w:basedOn w:val="ListBullet"/>
    <w:rsid w:val="004D0C97"/>
    <w:pPr>
      <w:numPr>
        <w:numId w:val="0"/>
      </w:numPr>
      <w:tabs>
        <w:tab w:val="right" w:leader="dot" w:pos="6521"/>
      </w:tabs>
      <w:spacing w:before="0" w:after="0"/>
    </w:pPr>
  </w:style>
  <w:style w:type="paragraph" w:customStyle="1" w:styleId="TOFTitle">
    <w:name w:val="TOFTitle"/>
    <w:basedOn w:val="TOCTitle"/>
    <w:rsid w:val="004D0C97"/>
  </w:style>
  <w:style w:type="paragraph" w:styleId="TableofFigures">
    <w:name w:val="table of figures"/>
    <w:basedOn w:val="Normal"/>
    <w:next w:val="Normal"/>
    <w:semiHidden/>
    <w:rsid w:val="004D0C97"/>
    <w:pPr>
      <w:tabs>
        <w:tab w:val="right" w:leader="dot" w:pos="9072"/>
      </w:tabs>
      <w:ind w:left="970" w:hanging="403"/>
    </w:pPr>
    <w:rPr>
      <w:rFonts w:ascii="Times New Roman" w:hAnsi="Times New Roman"/>
      <w:b/>
    </w:rPr>
  </w:style>
  <w:style w:type="paragraph" w:styleId="ListNumber">
    <w:name w:val="List Number"/>
    <w:basedOn w:val="List"/>
    <w:rsid w:val="004D0C97"/>
    <w:pPr>
      <w:numPr>
        <w:numId w:val="13"/>
      </w:numPr>
      <w:tabs>
        <w:tab w:val="clear" w:pos="340"/>
      </w:tabs>
    </w:pPr>
  </w:style>
  <w:style w:type="character" w:customStyle="1" w:styleId="WingdingSymbols">
    <w:name w:val="Wingding Symbols"/>
    <w:rsid w:val="004D0C97"/>
    <w:rPr>
      <w:rFonts w:ascii="Wingdings" w:hAnsi="Wingdings"/>
    </w:rPr>
  </w:style>
  <w:style w:type="paragraph" w:customStyle="1" w:styleId="TableHeading">
    <w:name w:val="Table Heading"/>
    <w:basedOn w:val="HeadingBase"/>
    <w:rsid w:val="004D0C97"/>
    <w:pPr>
      <w:keepLines/>
      <w:pBdr>
        <w:bottom w:val="single" w:sz="6" w:space="1" w:color="918585"/>
      </w:pBdr>
      <w:spacing w:before="240"/>
    </w:pPr>
  </w:style>
  <w:style w:type="character" w:customStyle="1" w:styleId="HotSpot">
    <w:name w:val="HotSpot"/>
    <w:rsid w:val="004D0C97"/>
    <w:rPr>
      <w:color w:val="0033CC"/>
      <w:u w:val="none"/>
    </w:rPr>
  </w:style>
  <w:style w:type="paragraph" w:customStyle="1" w:styleId="BodyTextRight">
    <w:name w:val="Body Text Right"/>
    <w:basedOn w:val="BodyText"/>
    <w:rsid w:val="004D0C97"/>
    <w:pPr>
      <w:spacing w:before="0" w:after="0"/>
      <w:jc w:val="right"/>
    </w:pPr>
  </w:style>
  <w:style w:type="paragraph" w:styleId="Index3">
    <w:name w:val="index 3"/>
    <w:basedOn w:val="ListNumber2"/>
    <w:next w:val="Normal"/>
    <w:semiHidden/>
    <w:rsid w:val="004D0C97"/>
    <w:pPr>
      <w:numPr>
        <w:numId w:val="0"/>
      </w:numPr>
      <w:tabs>
        <w:tab w:val="right" w:leader="dot" w:pos="4176"/>
      </w:tabs>
    </w:pPr>
  </w:style>
  <w:style w:type="paragraph" w:styleId="ListNumber2">
    <w:name w:val="List Number 2"/>
    <w:basedOn w:val="List2"/>
    <w:rsid w:val="004D0C97"/>
    <w:pPr>
      <w:numPr>
        <w:numId w:val="8"/>
      </w:numPr>
      <w:tabs>
        <w:tab w:val="clear" w:pos="1060"/>
      </w:tabs>
    </w:pPr>
  </w:style>
  <w:style w:type="paragraph" w:customStyle="1" w:styleId="MarginNote">
    <w:name w:val="Margin Note"/>
    <w:basedOn w:val="BodyText"/>
    <w:rsid w:val="004D0C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C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C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C97"/>
    <w:rPr>
      <w:sz w:val="32"/>
    </w:rPr>
  </w:style>
  <w:style w:type="paragraph" w:customStyle="1" w:styleId="HeadingProcedure">
    <w:name w:val="Heading Procedure"/>
    <w:basedOn w:val="HeadingBase"/>
    <w:next w:val="Normal"/>
    <w:rsid w:val="004D0C97"/>
    <w:pPr>
      <w:tabs>
        <w:tab w:val="left" w:pos="0"/>
      </w:tabs>
      <w:spacing w:before="120" w:after="60"/>
    </w:pPr>
    <w:rPr>
      <w:i/>
      <w:color w:val="918585"/>
      <w:sz w:val="22"/>
    </w:rPr>
  </w:style>
  <w:style w:type="paragraph" w:customStyle="1" w:styleId="TableBodyText">
    <w:name w:val="Table Body Text"/>
    <w:basedOn w:val="BodyText"/>
    <w:rsid w:val="004D0C97"/>
    <w:pPr>
      <w:spacing w:before="60" w:after="60"/>
    </w:pPr>
  </w:style>
  <w:style w:type="paragraph" w:styleId="ListContinue">
    <w:name w:val="List Continue"/>
    <w:basedOn w:val="List"/>
    <w:rsid w:val="004D0C97"/>
    <w:pPr>
      <w:ind w:firstLine="0"/>
    </w:pPr>
  </w:style>
  <w:style w:type="paragraph" w:customStyle="1" w:styleId="ListNote">
    <w:name w:val="List Note"/>
    <w:basedOn w:val="List"/>
    <w:rsid w:val="004D0C97"/>
    <w:pPr>
      <w:pBdr>
        <w:top w:val="single" w:sz="6" w:space="2" w:color="918585"/>
        <w:bottom w:val="single" w:sz="6" w:space="2" w:color="918585"/>
      </w:pBdr>
      <w:tabs>
        <w:tab w:val="left" w:pos="1021"/>
      </w:tabs>
      <w:ind w:firstLine="0"/>
    </w:pPr>
  </w:style>
  <w:style w:type="paragraph" w:customStyle="1" w:styleId="Warning">
    <w:name w:val="Warning"/>
    <w:basedOn w:val="BodyText"/>
    <w:rsid w:val="004D0C97"/>
    <w:pPr>
      <w:shd w:val="clear" w:color="auto" w:fill="D9D9D9"/>
      <w:tabs>
        <w:tab w:val="left" w:pos="992"/>
      </w:tabs>
      <w:ind w:left="119" w:right="119"/>
    </w:pPr>
    <w:rPr>
      <w:sz w:val="20"/>
    </w:rPr>
  </w:style>
  <w:style w:type="paragraph" w:customStyle="1" w:styleId="MarginIcons">
    <w:name w:val="Margin Icons"/>
    <w:basedOn w:val="BodyText"/>
    <w:rsid w:val="004D0C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C97"/>
    <w:rPr>
      <w:rFonts w:ascii="Courier New" w:hAnsi="Courier New"/>
    </w:rPr>
  </w:style>
  <w:style w:type="paragraph" w:customStyle="1" w:styleId="NoteBullet">
    <w:name w:val="Note Bullet"/>
    <w:basedOn w:val="Note"/>
    <w:rsid w:val="004D0C97"/>
    <w:pPr>
      <w:tabs>
        <w:tab w:val="clear" w:pos="680"/>
      </w:tabs>
      <w:spacing w:before="60" w:after="60"/>
    </w:pPr>
  </w:style>
  <w:style w:type="paragraph" w:customStyle="1" w:styleId="SubHeading2">
    <w:name w:val="SubHeading2"/>
    <w:basedOn w:val="HeadingBase"/>
    <w:rsid w:val="004D0C97"/>
    <w:pPr>
      <w:spacing w:before="240" w:after="60"/>
    </w:pPr>
    <w:rPr>
      <w:sz w:val="20"/>
    </w:rPr>
  </w:style>
  <w:style w:type="paragraph" w:customStyle="1" w:styleId="SubHeading1">
    <w:name w:val="SubHeading1"/>
    <w:basedOn w:val="HeadingBase"/>
    <w:rsid w:val="004D0C97"/>
    <w:pPr>
      <w:spacing w:before="240" w:after="60"/>
    </w:pPr>
    <w:rPr>
      <w:color w:val="918585"/>
      <w:sz w:val="22"/>
    </w:rPr>
  </w:style>
  <w:style w:type="paragraph" w:customStyle="1" w:styleId="SideHeading">
    <w:name w:val="Side Heading"/>
    <w:basedOn w:val="HeadingBase"/>
    <w:rsid w:val="004D0C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C97"/>
    <w:pPr>
      <w:numPr>
        <w:numId w:val="9"/>
      </w:numPr>
    </w:pPr>
  </w:style>
  <w:style w:type="paragraph" w:styleId="PlainText">
    <w:name w:val="Plain Text"/>
    <w:basedOn w:val="Normal"/>
    <w:link w:val="PlainTextChar"/>
    <w:rsid w:val="004D0C97"/>
    <w:rPr>
      <w:sz w:val="20"/>
    </w:rPr>
  </w:style>
  <w:style w:type="character" w:customStyle="1" w:styleId="PlainTextChar">
    <w:name w:val="Plain Text Char"/>
    <w:basedOn w:val="DefaultParagraphFont"/>
    <w:link w:val="PlainText"/>
    <w:rsid w:val="004D0C97"/>
    <w:rPr>
      <w:rFonts w:ascii="Courier New" w:eastAsia="Times New Roman" w:hAnsi="Courier New" w:cs="Times New Roman"/>
      <w:sz w:val="20"/>
      <w:szCs w:val="20"/>
      <w:lang w:eastAsia="en-US"/>
    </w:rPr>
  </w:style>
  <w:style w:type="character" w:customStyle="1" w:styleId="MenuOption">
    <w:name w:val="Menu Option"/>
    <w:basedOn w:val="DefaultParagraphFont"/>
    <w:rsid w:val="004D0C97"/>
    <w:rPr>
      <w:b/>
      <w:smallCaps/>
    </w:rPr>
  </w:style>
  <w:style w:type="paragraph" w:customStyle="1" w:styleId="TableListNumber">
    <w:name w:val="Table List Number"/>
    <w:basedOn w:val="ListNumber"/>
    <w:rsid w:val="004D0C97"/>
    <w:pPr>
      <w:numPr>
        <w:numId w:val="0"/>
      </w:numPr>
    </w:pPr>
  </w:style>
  <w:style w:type="paragraph" w:styleId="TOC4">
    <w:name w:val="toc 4"/>
    <w:basedOn w:val="TOCBase"/>
    <w:next w:val="Normal"/>
    <w:semiHidden/>
    <w:rsid w:val="004D0C97"/>
    <w:pPr>
      <w:tabs>
        <w:tab w:val="right" w:leader="dot" w:pos="9071"/>
      </w:tabs>
      <w:ind w:left="1701"/>
    </w:pPr>
  </w:style>
  <w:style w:type="paragraph" w:customStyle="1" w:styleId="ListAlpha">
    <w:name w:val="List Alpha"/>
    <w:basedOn w:val="List"/>
    <w:rsid w:val="004D0C97"/>
    <w:pPr>
      <w:numPr>
        <w:numId w:val="7"/>
      </w:numPr>
    </w:pPr>
  </w:style>
  <w:style w:type="paragraph" w:customStyle="1" w:styleId="ListAlpha2">
    <w:name w:val="List Alpha 2"/>
    <w:basedOn w:val="List2"/>
    <w:rsid w:val="004D0C97"/>
    <w:pPr>
      <w:numPr>
        <w:numId w:val="6"/>
      </w:numPr>
    </w:pPr>
  </w:style>
  <w:style w:type="paragraph" w:styleId="List2">
    <w:name w:val="List 2"/>
    <w:basedOn w:val="BodyText"/>
    <w:rsid w:val="004D0C97"/>
    <w:pPr>
      <w:tabs>
        <w:tab w:val="left" w:pos="680"/>
      </w:tabs>
      <w:spacing w:before="60" w:after="60"/>
      <w:ind w:left="680" w:hanging="340"/>
    </w:pPr>
  </w:style>
  <w:style w:type="paragraph" w:styleId="List3">
    <w:name w:val="List 3"/>
    <w:basedOn w:val="BodyText"/>
    <w:rsid w:val="004D0C97"/>
    <w:pPr>
      <w:tabs>
        <w:tab w:val="left" w:pos="1021"/>
      </w:tabs>
      <w:spacing w:before="60" w:after="60"/>
      <w:ind w:left="1020" w:hanging="340"/>
    </w:pPr>
  </w:style>
  <w:style w:type="paragraph" w:styleId="List4">
    <w:name w:val="List 4"/>
    <w:basedOn w:val="BodyText"/>
    <w:rsid w:val="004D0C97"/>
    <w:pPr>
      <w:tabs>
        <w:tab w:val="left" w:pos="1361"/>
      </w:tabs>
      <w:spacing w:before="60" w:after="60"/>
      <w:ind w:left="1361" w:hanging="340"/>
    </w:pPr>
  </w:style>
  <w:style w:type="paragraph" w:styleId="List5">
    <w:name w:val="List 5"/>
    <w:basedOn w:val="BodyText"/>
    <w:rsid w:val="004D0C97"/>
    <w:pPr>
      <w:tabs>
        <w:tab w:val="left" w:pos="1701"/>
      </w:tabs>
      <w:spacing w:before="60" w:after="60"/>
      <w:ind w:left="1701" w:hanging="340"/>
    </w:pPr>
  </w:style>
  <w:style w:type="paragraph" w:styleId="ListBullet3">
    <w:name w:val="List Bullet 3"/>
    <w:basedOn w:val="List3"/>
    <w:rsid w:val="004D0C97"/>
    <w:pPr>
      <w:numPr>
        <w:numId w:val="12"/>
      </w:numPr>
      <w:tabs>
        <w:tab w:val="clear" w:pos="1021"/>
      </w:tabs>
      <w:ind w:left="1037" w:hanging="357"/>
    </w:pPr>
  </w:style>
  <w:style w:type="paragraph" w:styleId="ListBullet4">
    <w:name w:val="List Bullet 4"/>
    <w:basedOn w:val="List4"/>
    <w:rsid w:val="004D0C97"/>
    <w:pPr>
      <w:numPr>
        <w:numId w:val="1"/>
      </w:numPr>
      <w:tabs>
        <w:tab w:val="clear" w:pos="1361"/>
      </w:tabs>
    </w:pPr>
  </w:style>
  <w:style w:type="paragraph" w:styleId="ListBullet5">
    <w:name w:val="List Bullet 5"/>
    <w:basedOn w:val="List5"/>
    <w:rsid w:val="004D0C97"/>
    <w:pPr>
      <w:numPr>
        <w:numId w:val="2"/>
      </w:numPr>
    </w:pPr>
  </w:style>
  <w:style w:type="paragraph" w:styleId="ListContinue2">
    <w:name w:val="List Continue 2"/>
    <w:basedOn w:val="List2"/>
    <w:rsid w:val="004D0C97"/>
    <w:pPr>
      <w:ind w:firstLine="0"/>
    </w:pPr>
  </w:style>
  <w:style w:type="paragraph" w:styleId="ListContinue3">
    <w:name w:val="List Continue 3"/>
    <w:basedOn w:val="List3"/>
    <w:rsid w:val="004D0C97"/>
    <w:pPr>
      <w:ind w:left="1021" w:firstLine="0"/>
    </w:pPr>
  </w:style>
  <w:style w:type="paragraph" w:styleId="ListContinue4">
    <w:name w:val="List Continue 4"/>
    <w:basedOn w:val="List4"/>
    <w:rsid w:val="004D0C97"/>
    <w:pPr>
      <w:ind w:firstLine="0"/>
    </w:pPr>
  </w:style>
  <w:style w:type="paragraph" w:styleId="ListContinue5">
    <w:name w:val="List Continue 5"/>
    <w:basedOn w:val="List5"/>
    <w:rsid w:val="004D0C97"/>
    <w:pPr>
      <w:ind w:firstLine="0"/>
    </w:pPr>
  </w:style>
  <w:style w:type="paragraph" w:styleId="ListNumber3">
    <w:name w:val="List Number 3"/>
    <w:basedOn w:val="List3"/>
    <w:rsid w:val="004D0C97"/>
    <w:pPr>
      <w:numPr>
        <w:numId w:val="3"/>
      </w:numPr>
    </w:pPr>
  </w:style>
  <w:style w:type="paragraph" w:styleId="ListNumber4">
    <w:name w:val="List Number 4"/>
    <w:basedOn w:val="List4"/>
    <w:rsid w:val="004D0C97"/>
    <w:pPr>
      <w:numPr>
        <w:numId w:val="4"/>
      </w:numPr>
    </w:pPr>
  </w:style>
  <w:style w:type="paragraph" w:styleId="ListNumber5">
    <w:name w:val="List Number 5"/>
    <w:basedOn w:val="List5"/>
    <w:rsid w:val="004D0C97"/>
    <w:pPr>
      <w:numPr>
        <w:numId w:val="5"/>
      </w:numPr>
    </w:pPr>
  </w:style>
  <w:style w:type="paragraph" w:styleId="BlockText">
    <w:name w:val="Block Text"/>
    <w:basedOn w:val="Normal"/>
    <w:rsid w:val="004D0C97"/>
    <w:pPr>
      <w:spacing w:after="120"/>
      <w:ind w:left="1440" w:right="1440"/>
    </w:pPr>
  </w:style>
  <w:style w:type="character" w:customStyle="1" w:styleId="Subscript">
    <w:name w:val="Subscript"/>
    <w:basedOn w:val="DefaultParagraphFont"/>
    <w:rsid w:val="004D0C97"/>
    <w:rPr>
      <w:sz w:val="16"/>
      <w:vertAlign w:val="subscript"/>
    </w:rPr>
  </w:style>
  <w:style w:type="character" w:customStyle="1" w:styleId="Superscript">
    <w:name w:val="Superscript"/>
    <w:basedOn w:val="DefaultParagraphFont"/>
    <w:rsid w:val="004D0C97"/>
    <w:rPr>
      <w:sz w:val="16"/>
      <w:vertAlign w:val="superscript"/>
    </w:rPr>
  </w:style>
  <w:style w:type="character" w:customStyle="1" w:styleId="Symbols">
    <w:name w:val="Symbols"/>
    <w:basedOn w:val="DefaultParagraphFont"/>
    <w:rsid w:val="004D0C97"/>
    <w:rPr>
      <w:rFonts w:ascii="Symbol" w:hAnsi="Symbol"/>
    </w:rPr>
  </w:style>
  <w:style w:type="character" w:customStyle="1" w:styleId="MenuOptions">
    <w:name w:val="Menu Options"/>
    <w:basedOn w:val="DefaultParagraphFont"/>
    <w:rsid w:val="004D0C97"/>
    <w:rPr>
      <w:rFonts w:ascii="Arial Narrow" w:hAnsi="Arial Narrow"/>
      <w:smallCaps/>
    </w:rPr>
  </w:style>
  <w:style w:type="character" w:customStyle="1" w:styleId="Buttons">
    <w:name w:val="Buttons"/>
    <w:basedOn w:val="DefaultParagraphFont"/>
    <w:rsid w:val="004D0C97"/>
    <w:rPr>
      <w:b/>
    </w:rPr>
  </w:style>
  <w:style w:type="character" w:customStyle="1" w:styleId="Underlined">
    <w:name w:val="Underlined"/>
    <w:basedOn w:val="DefaultParagraphFont"/>
    <w:rsid w:val="004D0C97"/>
    <w:rPr>
      <w:u w:val="single"/>
    </w:rPr>
  </w:style>
  <w:style w:type="paragraph" w:customStyle="1" w:styleId="TableBodyTextRight">
    <w:name w:val="Table Body Text Right"/>
    <w:basedOn w:val="TableBodyText"/>
    <w:rsid w:val="004D0C97"/>
    <w:pPr>
      <w:widowControl w:val="0"/>
      <w:autoSpaceDE w:val="0"/>
      <w:autoSpaceDN w:val="0"/>
      <w:adjustRightInd w:val="0"/>
      <w:jc w:val="right"/>
    </w:pPr>
    <w:rPr>
      <w:rFonts w:cs="Arial"/>
      <w:szCs w:val="18"/>
    </w:rPr>
  </w:style>
  <w:style w:type="paragraph" w:customStyle="1" w:styleId="CopyrightText">
    <w:name w:val="Copyright Text"/>
    <w:basedOn w:val="BodyText"/>
    <w:rsid w:val="004D0C97"/>
    <w:rPr>
      <w:sz w:val="18"/>
    </w:rPr>
  </w:style>
  <w:style w:type="paragraph" w:customStyle="1" w:styleId="BodySmallRight">
    <w:name w:val="Body Small Right"/>
    <w:basedOn w:val="BodyTextRight"/>
    <w:rsid w:val="004D0C97"/>
    <w:rPr>
      <w:sz w:val="18"/>
      <w:szCs w:val="18"/>
    </w:rPr>
  </w:style>
  <w:style w:type="paragraph" w:customStyle="1" w:styleId="MarginEdition">
    <w:name w:val="Margin Edition"/>
    <w:basedOn w:val="MarginNote"/>
    <w:rsid w:val="004D0C97"/>
    <w:pPr>
      <w:spacing w:before="0" w:after="0"/>
    </w:pPr>
    <w:rPr>
      <w:rFonts w:ascii="Times New Roman" w:hAnsi="Times New Roman"/>
      <w:color w:val="999999"/>
    </w:rPr>
  </w:style>
  <w:style w:type="paragraph" w:customStyle="1" w:styleId="Spacer">
    <w:name w:val="Spacer"/>
    <w:basedOn w:val="Normal"/>
    <w:rsid w:val="004D0C97"/>
    <w:rPr>
      <w:sz w:val="2"/>
      <w:szCs w:val="2"/>
    </w:rPr>
  </w:style>
  <w:style w:type="character" w:customStyle="1" w:styleId="Small">
    <w:name w:val="Small"/>
    <w:basedOn w:val="DefaultParagraphFont"/>
    <w:rsid w:val="004D0C97"/>
    <w:rPr>
      <w:sz w:val="16"/>
    </w:rPr>
  </w:style>
  <w:style w:type="paragraph" w:customStyle="1" w:styleId="WideTable">
    <w:name w:val="Wide Table"/>
    <w:basedOn w:val="Normal"/>
    <w:rsid w:val="004D0C97"/>
    <w:pPr>
      <w:ind w:left="-1418"/>
    </w:pPr>
    <w:rPr>
      <w:sz w:val="2"/>
      <w:szCs w:val="2"/>
    </w:rPr>
  </w:style>
  <w:style w:type="character" w:styleId="PageNumber">
    <w:name w:val="page number"/>
    <w:basedOn w:val="DefaultParagraphFont"/>
    <w:rsid w:val="004D0C97"/>
  </w:style>
  <w:style w:type="paragraph" w:styleId="Quote">
    <w:name w:val="Quote"/>
    <w:basedOn w:val="Heading1"/>
    <w:link w:val="QuoteChar"/>
    <w:qFormat/>
    <w:rsid w:val="004D0C97"/>
    <w:rPr>
      <w:b w:val="0"/>
      <w:sz w:val="72"/>
      <w:szCs w:val="72"/>
      <w:lang w:val="en-NZ"/>
    </w:rPr>
  </w:style>
  <w:style w:type="character" w:customStyle="1" w:styleId="QuoteChar">
    <w:name w:val="Quote Char"/>
    <w:basedOn w:val="DefaultParagraphFont"/>
    <w:link w:val="Quote"/>
    <w:rsid w:val="004D0C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C97"/>
    <w:pPr>
      <w:pageBreakBefore/>
    </w:pPr>
  </w:style>
  <w:style w:type="paragraph" w:customStyle="1" w:styleId="Border">
    <w:name w:val="Border"/>
    <w:basedOn w:val="Normal"/>
    <w:qFormat/>
    <w:rsid w:val="004D0C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C97"/>
    <w:rPr>
      <w:b/>
      <w:bCs/>
      <w:i/>
      <w:iCs/>
      <w:color w:val="auto"/>
    </w:rPr>
  </w:style>
  <w:style w:type="paragraph" w:styleId="IntenseQuote">
    <w:name w:val="Intense Quote"/>
    <w:basedOn w:val="Normal"/>
    <w:next w:val="Normal"/>
    <w:link w:val="IntenseQuoteChar"/>
    <w:uiPriority w:val="30"/>
    <w:qFormat/>
    <w:rsid w:val="004D0C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C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C97"/>
    <w:rPr>
      <w:smallCaps/>
      <w:color w:val="auto"/>
      <w:u w:val="single"/>
    </w:rPr>
  </w:style>
  <w:style w:type="character" w:styleId="IntenseReference">
    <w:name w:val="Intense Reference"/>
    <w:basedOn w:val="DefaultParagraphFont"/>
    <w:uiPriority w:val="32"/>
    <w:qFormat/>
    <w:rsid w:val="004D0C97"/>
    <w:rPr>
      <w:b/>
      <w:bCs/>
      <w:smallCaps/>
      <w:color w:val="auto"/>
      <w:spacing w:val="5"/>
      <w:u w:val="single"/>
    </w:rPr>
  </w:style>
  <w:style w:type="paragraph" w:customStyle="1" w:styleId="2ColumnHeading">
    <w:name w:val="2Column Heading"/>
    <w:basedOn w:val="BodyText"/>
    <w:qFormat/>
    <w:rsid w:val="004D0C97"/>
    <w:pPr>
      <w:spacing w:after="60"/>
      <w:ind w:left="-2268"/>
    </w:pPr>
    <w:rPr>
      <w:b/>
    </w:rPr>
  </w:style>
  <w:style w:type="paragraph" w:customStyle="1" w:styleId="Heading1TOC">
    <w:name w:val="Heading1 TOC"/>
    <w:basedOn w:val="Normal"/>
    <w:qFormat/>
    <w:rsid w:val="004D0C97"/>
    <w:pPr>
      <w:spacing w:before="240" w:after="120"/>
    </w:pPr>
    <w:rPr>
      <w:rFonts w:ascii="Times New Roman" w:hAnsi="Times New Roman"/>
      <w:b/>
      <w:sz w:val="32"/>
    </w:rPr>
  </w:style>
  <w:style w:type="paragraph" w:customStyle="1" w:styleId="Heading2TOC">
    <w:name w:val="Heading2 TOC"/>
    <w:basedOn w:val="Normal"/>
    <w:qFormat/>
    <w:rsid w:val="004D0C97"/>
    <w:pPr>
      <w:spacing w:before="240" w:after="60"/>
    </w:pPr>
    <w:rPr>
      <w:rFonts w:ascii="Times New Roman" w:hAnsi="Times New Roman"/>
      <w:b/>
      <w:sz w:val="28"/>
    </w:rPr>
  </w:style>
  <w:style w:type="character" w:customStyle="1" w:styleId="Underline">
    <w:name w:val="Underline"/>
    <w:basedOn w:val="DefaultParagraphFont"/>
    <w:qFormat/>
    <w:rsid w:val="004D0C97"/>
    <w:rPr>
      <w:u w:val="single"/>
    </w:rPr>
  </w:style>
  <w:style w:type="character" w:customStyle="1" w:styleId="BoldandItalics">
    <w:name w:val="Bold and Italics"/>
    <w:qFormat/>
    <w:rsid w:val="004D0C97"/>
    <w:rPr>
      <w:b/>
      <w:i/>
      <w:u w:val="none"/>
    </w:rPr>
  </w:style>
  <w:style w:type="paragraph" w:styleId="BalloonText">
    <w:name w:val="Balloon Text"/>
    <w:basedOn w:val="Normal"/>
    <w:link w:val="BalloonTextChar"/>
    <w:rsid w:val="004D0C97"/>
    <w:rPr>
      <w:rFonts w:ascii="Tahoma" w:hAnsi="Tahoma" w:cs="Tahoma"/>
      <w:sz w:val="16"/>
      <w:szCs w:val="16"/>
    </w:rPr>
  </w:style>
  <w:style w:type="character" w:customStyle="1" w:styleId="BalloonTextChar">
    <w:name w:val="Balloon Text Char"/>
    <w:basedOn w:val="DefaultParagraphFont"/>
    <w:link w:val="BalloonText"/>
    <w:rsid w:val="004D0C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C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C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C97"/>
    <w:rPr>
      <w:b/>
      <w:color w:val="660033"/>
      <w:spacing w:val="0"/>
    </w:rPr>
  </w:style>
  <w:style w:type="paragraph" w:customStyle="1" w:styleId="Nameditemlist">
    <w:name w:val="Named item list"/>
    <w:basedOn w:val="BodyText"/>
    <w:qFormat/>
    <w:rsid w:val="004D0C97"/>
    <w:pPr>
      <w:tabs>
        <w:tab w:val="left" w:pos="2835"/>
      </w:tabs>
      <w:ind w:left="2835" w:hanging="2835"/>
    </w:pPr>
  </w:style>
  <w:style w:type="paragraph" w:customStyle="1" w:styleId="BodyTextnopadding">
    <w:name w:val="Body Text no padding"/>
    <w:basedOn w:val="BodyText"/>
    <w:qFormat/>
    <w:rsid w:val="004D0C97"/>
    <w:pPr>
      <w:spacing w:before="0" w:after="0"/>
    </w:pPr>
  </w:style>
  <w:style w:type="paragraph" w:customStyle="1" w:styleId="BodyTextBold">
    <w:name w:val="Body Text Bold"/>
    <w:basedOn w:val="BodyText"/>
    <w:qFormat/>
    <w:rsid w:val="004D0C97"/>
    <w:rPr>
      <w:b/>
    </w:rPr>
  </w:style>
  <w:style w:type="character" w:styleId="Hyperlink">
    <w:name w:val="Hyperlink"/>
    <w:basedOn w:val="DefaultParagraphFont"/>
    <w:uiPriority w:val="99"/>
    <w:unhideWhenUsed/>
    <w:rsid w:val="00A93A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5170</Characters>
  <Application>Microsoft Office Word</Application>
  <DocSecurity>0</DocSecurity>
  <Lines>215</Lines>
  <Paragraphs>95</Paragraphs>
  <ScaleCrop>false</ScaleCrop>
  <Company>Author-it Software Corporation Ltd.</Company>
  <LinksUpToDate>false</LinksUpToDate>
  <CharactersWithSpaces>5898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CPPFES2047 Inspect and test control and indicating equipment</dc:title>
  <dc:subject>Approved</dc:subject>
  <dc:creator>Artibus Innovation</dc:creator>
  <cp:keywords>Release: 1</cp:keywords>
  <dc:description>Review Date: 12 April 2008</dc:description>
  <cp:lastModifiedBy>HSD_TPCMSd.prod</cp:lastModifiedBy>
  <cp:revision>3</cp:revision>
  <dcterms:created xsi:type="dcterms:W3CDTF">2022-12-19T06:16:00Z</dcterms:created>
  <dcterms:modified xsi:type="dcterms:W3CDTF">2022-12-19T06:16:00Z</dcterms:modified>
</cp:coreProperties>
</file>