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2E1" w:rsidP="009172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CPPFES2047 Inspect and test control and indicating equipment</w:t>
      </w:r>
      <w:r>
        <w:fldChar w:fldCharType="end"/>
      </w:r>
    </w:p>
    <w:p w:rsidR="009172E1" w:rsidP="009172E1">
      <w:pPr>
        <w:pStyle w:val="Version"/>
        <w:sectPr w:rsidSect="00075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C63" w:rsidP="00075C63">
      <w:pPr>
        <w:pStyle w:val="SuperHeading"/>
      </w:pPr>
      <w:r w:rsidRPr="00075C63">
        <w:t>Assessment Requirements for CPPFES2047 Inspect and test control and indicating equipment</w:t>
      </w:r>
    </w:p>
    <w:p w:rsidR="00000000" w:rsidRPr="00075C63" w:rsidP="00075C63">
      <w:pPr>
        <w:pStyle w:val="Heading1"/>
      </w:pPr>
      <w:bookmarkStart w:id="1" w:name="O_1163604"/>
      <w:bookmarkEnd w:id="1"/>
      <w:r w:rsidRPr="00075C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075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C63">
            <w:pPr>
              <w:pStyle w:val="BodyText"/>
              <w:rPr>
                <w:lang w:val="en-NZ"/>
              </w:rPr>
            </w:pPr>
            <w:r w:rsidRPr="00075C63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C63" w:rsidP="00075C63">
            <w:pPr>
              <w:pStyle w:val="BodyText"/>
            </w:pPr>
            <w:r w:rsidRPr="00075C63">
              <w:t>This version first released with CPP Property Services Training Package Release 13.0.</w:t>
            </w:r>
          </w:p>
          <w:p w:rsidR="00000000" w:rsidRPr="00075C63" w:rsidP="00075C63">
            <w:pPr>
              <w:pStyle w:val="BodyText"/>
            </w:pPr>
            <w:r w:rsidRPr="00075C63">
              <w:t>Supersedes and is equivalent to CPPFES2047A Inspect and test control and indicating equipment.  Updated to meet the Standards for Training Packages 2012.</w:t>
            </w:r>
          </w:p>
        </w:tc>
      </w:tr>
    </w:tbl>
    <w:p w:rsidR="00000000" w:rsidRPr="00075C63" w:rsidP="00075C63">
      <w:pPr>
        <w:pStyle w:val="BodyText"/>
      </w:pPr>
    </w:p>
    <w:p w:rsidR="00000000" w:rsidRPr="00075C63" w:rsidP="00075C63">
      <w:pPr>
        <w:pStyle w:val="AllowPageBreak"/>
      </w:pPr>
    </w:p>
    <w:p w:rsidR="00000000" w:rsidRPr="00075C63" w:rsidP="00075C63">
      <w:pPr>
        <w:pStyle w:val="Heading1"/>
      </w:pPr>
      <w:bookmarkStart w:id="2" w:name="O_1163607"/>
      <w:bookmarkEnd w:id="2"/>
      <w:r w:rsidRPr="00075C63">
        <w:t>Performance Evidence</w:t>
      </w:r>
    </w:p>
    <w:p w:rsidR="00000000" w:rsidRPr="00075C63" w:rsidP="009172E1">
      <w:pPr>
        <w:pStyle w:val="BodyText"/>
      </w:pPr>
      <w:r w:rsidRPr="00075C63">
        <w:t>To demonstrate competency, a candidate must meet the element</w:t>
      </w:r>
      <w:r w:rsidRPr="00075C63">
        <w:t>s and performance criteria of this unit by inspecting and testing control and indicating equipment (CIE) installed across 10 different sites and specifically interfaced to different fire-suppression systems:</w:t>
      </w:r>
    </w:p>
    <w:p w:rsidR="00000000" w:rsidRPr="00075C63" w:rsidP="00075C63">
      <w:pPr>
        <w:pStyle w:val="ListBullet"/>
      </w:pPr>
      <w:r w:rsidRPr="00075C63">
        <w:t>conventional fire indicating panels and micropr</w:t>
      </w:r>
      <w:r w:rsidRPr="00075C63">
        <w:t>ocessor analogue fire indicating panel fire detection systems</w:t>
      </w:r>
    </w:p>
    <w:p w:rsidR="00000000" w:rsidRPr="00075C63" w:rsidP="00075C63">
      <w:pPr>
        <w:pStyle w:val="ListBullet"/>
      </w:pPr>
      <w:r w:rsidRPr="00075C63">
        <w:t xml:space="preserve">fire alarm systems that comply with </w:t>
      </w:r>
      <w:r w:rsidRPr="00075C63">
        <w:rPr>
          <w:rStyle w:val="Emphasis"/>
        </w:rPr>
        <w:t>AS 1670.1 Fire detection, warning, control and intercom systems - Fire</w:t>
      </w:r>
      <w:r w:rsidRPr="00075C63">
        <w:t xml:space="preserve"> (or its successor)</w:t>
      </w:r>
    </w:p>
    <w:p w:rsidR="00000000" w:rsidRPr="00075C63" w:rsidP="00075C63">
      <w:pPr>
        <w:pStyle w:val="ListBullet"/>
      </w:pPr>
      <w:r w:rsidRPr="00075C63">
        <w:t xml:space="preserve">emergency warning and intercommunication systems that comply with </w:t>
      </w:r>
      <w:r w:rsidRPr="00075C63">
        <w:rPr>
          <w:rStyle w:val="Emphasis"/>
        </w:rPr>
        <w:t>AS</w:t>
      </w:r>
      <w:r w:rsidRPr="00075C63">
        <w:rPr>
          <w:rStyle w:val="Emphasis"/>
        </w:rPr>
        <w:t xml:space="preserve"> 1670.4 Fire detection, warning, control and intercom systems - System design, installation and commissioning</w:t>
      </w:r>
      <w:r>
        <w:rPr>
          <w:rStyle w:val="Emphasis"/>
        </w:rPr>
        <w:t>—</w:t>
      </w:r>
      <w:r w:rsidRPr="00075C63">
        <w:rPr>
          <w:rStyle w:val="Emphasis"/>
        </w:rPr>
        <w:t xml:space="preserve">Emergency warning and intercom systems </w:t>
      </w:r>
      <w:r w:rsidRPr="00075C63">
        <w:t>(or its successor)</w:t>
      </w:r>
    </w:p>
    <w:p w:rsidR="00000000" w:rsidRPr="00075C63" w:rsidP="00075C63">
      <w:pPr>
        <w:pStyle w:val="ListBullet"/>
      </w:pPr>
      <w:r w:rsidRPr="00075C63">
        <w:t>fire alarm systems interfaced with activating mechanisms of a fire-suppression system.</w:t>
      </w:r>
    </w:p>
    <w:p w:rsidR="00000000" w:rsidRPr="00075C63" w:rsidP="00075C63">
      <w:pPr>
        <w:pStyle w:val="AllowPageBreak"/>
      </w:pPr>
    </w:p>
    <w:p w:rsidR="00000000" w:rsidRPr="00075C63" w:rsidP="00075C63">
      <w:pPr>
        <w:pStyle w:val="Heading1"/>
      </w:pPr>
      <w:bookmarkStart w:id="3" w:name="O_1163606"/>
      <w:bookmarkEnd w:id="3"/>
      <w:r w:rsidRPr="00075C63">
        <w:t>Knowledge Evidence</w:t>
      </w:r>
    </w:p>
    <w:p w:rsidR="00000000" w:rsidRPr="00075C63" w:rsidP="009172E1">
      <w:pPr>
        <w:pStyle w:val="BodyText"/>
      </w:pPr>
      <w:r w:rsidRPr="00075C63">
        <w:t>To be competent in this unit, a candidate must demonstrate knowledge of:</w:t>
      </w:r>
    </w:p>
    <w:p w:rsidR="00000000" w:rsidRPr="00075C63" w:rsidP="00075C63">
      <w:pPr>
        <w:pStyle w:val="ListBullet"/>
      </w:pPr>
      <w:r w:rsidRPr="00075C63">
        <w:t xml:space="preserve">action to take when a breach of regulation, work health and safety (WHS), ozone depleting </w:t>
      </w:r>
      <w:r w:rsidRPr="00075C63">
        <w:t>substances (ODS), synthetic greenhouse gases (SGG) or other policy occurs when inspecting and testing CIE</w:t>
      </w:r>
    </w:p>
    <w:p w:rsidR="00000000" w:rsidRPr="00075C63" w:rsidP="00075C63">
      <w:pPr>
        <w:pStyle w:val="ListBullet"/>
      </w:pPr>
      <w:r w:rsidRPr="00075C63">
        <w:t>common controls and indicators on CIE</w:t>
      </w:r>
    </w:p>
    <w:p w:rsidR="00000000" w:rsidRPr="00075C63" w:rsidP="00075C63">
      <w:pPr>
        <w:pStyle w:val="ListBullet"/>
      </w:pPr>
      <w:r w:rsidRPr="00075C63">
        <w:t>detection and warning components connected to CIE</w:t>
      </w:r>
    </w:p>
    <w:p w:rsidR="00000000" w:rsidRPr="00075C63" w:rsidP="00075C63">
      <w:pPr>
        <w:pStyle w:val="ListBullet"/>
      </w:pPr>
      <w:r w:rsidRPr="00075C63">
        <w:t xml:space="preserve">environmental conditions that cause actuators to create false </w:t>
      </w:r>
      <w:r w:rsidRPr="00075C63">
        <w:t>alarms</w:t>
      </w:r>
    </w:p>
    <w:p w:rsidR="00000000" w:rsidRPr="00075C63" w:rsidP="00075C63">
      <w:pPr>
        <w:pStyle w:val="ListBullet"/>
      </w:pPr>
      <w:r w:rsidRPr="00075C63">
        <w:t>implications of not complying with regulatory requirements when inspecting and testing CIE</w:t>
      </w:r>
    </w:p>
    <w:p w:rsidR="00000000" w:rsidRPr="00075C63" w:rsidP="00075C63">
      <w:pPr>
        <w:pStyle w:val="ListBullet"/>
      </w:pPr>
      <w:r w:rsidRPr="00075C63">
        <w:t>key features of legislation, regulations, codes and Australian Standards relevant to inspecting and testing CIE:</w:t>
      </w:r>
    </w:p>
    <w:p w:rsidR="00000000" w:rsidRPr="00075C63" w:rsidP="00075C63">
      <w:pPr>
        <w:pStyle w:val="ListBullet2"/>
      </w:pPr>
      <w:r w:rsidRPr="00075C63">
        <w:t>environment protection, ODS and SGG emission</w:t>
      </w:r>
      <w:r w:rsidRPr="00075C63">
        <w:t xml:space="preserve"> requirements</w:t>
      </w:r>
    </w:p>
    <w:p w:rsidR="00000000" w:rsidRPr="00075C63" w:rsidP="00075C63">
      <w:pPr>
        <w:pStyle w:val="ListBullet2"/>
      </w:pPr>
      <w:r w:rsidRPr="00075C63">
        <w:t>extinguishing agent handling licence (EAHL) requirements</w:t>
      </w:r>
    </w:p>
    <w:p w:rsidR="00000000" w:rsidRPr="00075C63" w:rsidP="00075C63">
      <w:pPr>
        <w:pStyle w:val="ListBullet2"/>
      </w:pPr>
      <w:r w:rsidRPr="00075C63">
        <w:t>intent of the Australian Standard for the maintenance of fire protection systems and equipment in relation to CIE inspect and test operations, and requirements of the monthly and six-mo</w:t>
      </w:r>
      <w:r w:rsidRPr="00075C63">
        <w:t>nthly maintenance schedules relevant to conventional and addressable CIE</w:t>
      </w:r>
    </w:p>
    <w:p w:rsidR="00000000" w:rsidRPr="00075C63" w:rsidP="00075C63">
      <w:pPr>
        <w:pStyle w:val="ListBullet2"/>
      </w:pPr>
      <w:r w:rsidRPr="00075C63">
        <w:t>National Construction Code (NCC) and deemed-to-satisfy requirements</w:t>
      </w:r>
    </w:p>
    <w:p w:rsidR="00000000" w:rsidRPr="00075C63" w:rsidP="00075C63">
      <w:pPr>
        <w:pStyle w:val="ListBullet2"/>
      </w:pPr>
      <w:r w:rsidRPr="00075C63">
        <w:t>records and documentation</w:t>
      </w:r>
    </w:p>
    <w:p w:rsidR="00000000" w:rsidRPr="00075C63" w:rsidP="00075C63">
      <w:pPr>
        <w:pStyle w:val="ListBullet"/>
      </w:pPr>
      <w:r w:rsidRPr="00075C63">
        <w:t>key functional differences between a conventional and addressable CIE</w:t>
      </w:r>
    </w:p>
    <w:p w:rsidR="00000000" w:rsidRPr="00075C63" w:rsidP="00075C63">
      <w:pPr>
        <w:pStyle w:val="ListBullet"/>
      </w:pPr>
      <w:r w:rsidRPr="00075C63">
        <w:t>key operational pr</w:t>
      </w:r>
      <w:r w:rsidRPr="00075C63">
        <w:t>inciples of CIE specifically interfaced to fire-suppression systems</w:t>
      </w:r>
    </w:p>
    <w:p w:rsidR="00000000" w:rsidRPr="00075C63" w:rsidP="00075C63">
      <w:pPr>
        <w:pStyle w:val="ListBullet"/>
      </w:pPr>
      <w:r w:rsidRPr="00075C63">
        <w:t>local controls (LC), local control stations (LCS), aural alarms, visual warning devices (VWD) and actuators on fire-suppression systems interfaced to CIE</w:t>
      </w:r>
    </w:p>
    <w:p w:rsidR="00000000" w:rsidRPr="00075C63" w:rsidP="00075C63">
      <w:pPr>
        <w:pStyle w:val="ListBullet"/>
      </w:pPr>
      <w:r w:rsidRPr="00075C63">
        <w:t>operation of actuators</w:t>
      </w:r>
    </w:p>
    <w:p w:rsidR="00000000" w:rsidRPr="00075C63" w:rsidP="00075C63">
      <w:pPr>
        <w:pStyle w:val="ListBullet"/>
      </w:pPr>
      <w:r w:rsidRPr="00075C63">
        <w:t>types, purpose of and safety requirements of tools, equipment and testing devices used when inspecting and testing CIE:</w:t>
      </w:r>
    </w:p>
    <w:p w:rsidR="00000000" w:rsidRPr="00075C63" w:rsidP="00075C63">
      <w:pPr>
        <w:pStyle w:val="ListBullet2"/>
      </w:pPr>
      <w:r w:rsidRPr="00075C63">
        <w:t>hand and power tools</w:t>
      </w:r>
    </w:p>
    <w:p w:rsidR="00000000" w:rsidRPr="00075C63" w:rsidP="00075C63">
      <w:pPr>
        <w:pStyle w:val="ListBullet2"/>
      </w:pPr>
      <w:r w:rsidRPr="00075C63">
        <w:t>personal protective equipment (PPE)</w:t>
      </w:r>
    </w:p>
    <w:p w:rsidR="00000000" w:rsidRPr="00075C63" w:rsidP="00075C63">
      <w:pPr>
        <w:pStyle w:val="ListBullet2"/>
      </w:pPr>
      <w:r w:rsidRPr="00075C63">
        <w:t>testing devices: barcode readers, safety equipment and simulator actuators</w:t>
      </w:r>
    </w:p>
    <w:p w:rsidR="00000000" w:rsidRPr="00075C63" w:rsidP="00075C63">
      <w:pPr>
        <w:pStyle w:val="ListBullet"/>
      </w:pPr>
      <w:r w:rsidRPr="00075C63">
        <w:t>ty</w:t>
      </w:r>
      <w:r w:rsidRPr="00075C63">
        <w:t>pes of electrical safeguards used to protect persons and property when inspecting and testing CIE</w:t>
      </w:r>
    </w:p>
    <w:p w:rsidR="00000000" w:rsidRPr="00075C63" w:rsidP="00075C63">
      <w:pPr>
        <w:pStyle w:val="ListBullet"/>
      </w:pPr>
      <w:r w:rsidRPr="00075C63">
        <w:t>workplace requirements for inspecting and testing CIE:</w:t>
      </w:r>
    </w:p>
    <w:p w:rsidR="00000000" w:rsidRPr="00075C63" w:rsidP="00075C63">
      <w:pPr>
        <w:pStyle w:val="ListBullet2"/>
      </w:pPr>
      <w:r w:rsidRPr="00075C63">
        <w:t>maintenance of tools, equipment and testing devices</w:t>
      </w:r>
    </w:p>
    <w:p w:rsidR="00000000" w:rsidRPr="00075C63" w:rsidP="00075C63">
      <w:pPr>
        <w:pStyle w:val="ListBullet2"/>
      </w:pPr>
      <w:r w:rsidRPr="00075C63">
        <w:t xml:space="preserve">WHS, including hazard and risk identification and </w:t>
      </w:r>
      <w:r w:rsidRPr="00075C63">
        <w:t>control.</w:t>
      </w:r>
    </w:p>
    <w:p w:rsidR="00000000" w:rsidRPr="00075C63" w:rsidP="00075C63">
      <w:pPr>
        <w:pStyle w:val="AllowPageBreak"/>
      </w:pPr>
    </w:p>
    <w:p w:rsidR="00000000" w:rsidRPr="00075C63" w:rsidP="00075C63">
      <w:pPr>
        <w:pStyle w:val="Heading1"/>
      </w:pPr>
      <w:bookmarkStart w:id="4" w:name="O_1163605"/>
      <w:bookmarkEnd w:id="4"/>
      <w:r w:rsidRPr="00075C63">
        <w:t>Assessment Conditions</w:t>
      </w:r>
    </w:p>
    <w:p w:rsidR="00000000" w:rsidRPr="00075C63" w:rsidP="009172E1">
      <w:pPr>
        <w:pStyle w:val="BodyText"/>
      </w:pPr>
      <w:r w:rsidRPr="00075C63">
        <w:t xml:space="preserve">Assessors must meet the requirements for assessors contained in the Standards for Registered Training Organisations. </w:t>
      </w:r>
    </w:p>
    <w:p w:rsidR="00000000" w:rsidRPr="00075C63" w:rsidP="009172E1">
      <w:pPr>
        <w:pStyle w:val="BodyText"/>
      </w:pPr>
      <w:r w:rsidRPr="00075C63">
        <w:t>Assessment must be conducted in the workplace or a simulated workplace using realistic c</w:t>
      </w:r>
      <w:r w:rsidRPr="00075C63">
        <w:t>onditions, materials, activities, responsibilities, procedures, safety requirements and environmental considerations.</w:t>
      </w:r>
    </w:p>
    <w:p w:rsidR="00000000" w:rsidRPr="00075C63" w:rsidP="009172E1">
      <w:pPr>
        <w:pStyle w:val="BodyText"/>
      </w:pPr>
      <w:r w:rsidRPr="00075C63">
        <w:t>Candidates must have access to drawings, documentation, tools, equipment, testing devices and installed CIE required to achieve the performance evidence.</w:t>
      </w:r>
    </w:p>
    <w:p w:rsidR="00000000" w:rsidRPr="00075C63" w:rsidP="00075C63">
      <w:pPr>
        <w:pStyle w:val="Heading1"/>
      </w:pPr>
      <w:bookmarkStart w:id="5" w:name="O_1163603"/>
      <w:bookmarkEnd w:id="5"/>
      <w:r w:rsidRPr="00075C63">
        <w:t>Links</w:t>
      </w:r>
    </w:p>
    <w:p w:rsidR="00000000" w:rsidRPr="00075C63" w:rsidP="009172E1">
      <w:pPr>
        <w:pStyle w:val="BodyText"/>
      </w:pPr>
      <w:r w:rsidRPr="00075C63">
        <w:t>Companion volumes to this training package are available at the VETNet websit</w:t>
      </w:r>
      <w:r w:rsidRPr="00075C63">
        <w:t xml:space="preserve">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903B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75C63" w:rsidP="00075C63"/>
    <w:sectPr w:rsidSect="00075C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63" w:rsidRPr="009172E1" w:rsidP="009172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2E1" w:rsidP="00075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72E1" w:rsidP="00075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172E1" w:rsidP="00075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2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C63" w:rsidRPr="009172E1" w:rsidP="009172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2E1" w:rsidRPr="002D2AF8" w:rsidP="00075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CPPFES2047 Inspect and test control and indicating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172E1" w:rsidP="00075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2A7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7A4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6A70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C63"/>
  </w:style>
  <w:style w:type="character" w:customStyle="1" w:styleId="Heading1Char">
    <w:name w:val="Heading 1 Char"/>
    <w:basedOn w:val="DefaultParagraphFont"/>
    <w:link w:val="Heading1"/>
    <w:rsid w:val="00075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5C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5C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5C63"/>
    <w:rPr>
      <w:i/>
    </w:rPr>
  </w:style>
  <w:style w:type="paragraph" w:customStyle="1" w:styleId="SuperHeading">
    <w:name w:val="SuperHeading"/>
    <w:basedOn w:val="Normal"/>
    <w:rsid w:val="00075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5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5C63"/>
    <w:rPr>
      <w:b/>
      <w:spacing w:val="0"/>
    </w:rPr>
  </w:style>
  <w:style w:type="paragraph" w:customStyle="1" w:styleId="SuperTitle">
    <w:name w:val="SuperTitle"/>
    <w:basedOn w:val="Title"/>
    <w:rsid w:val="00075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5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C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5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C63"/>
  </w:style>
  <w:style w:type="paragraph" w:styleId="TableofFigures">
    <w:name w:val="table of figures"/>
    <w:basedOn w:val="Normal"/>
    <w:next w:val="Normal"/>
    <w:semiHidden/>
    <w:rsid w:val="00075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C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5C63"/>
    <w:rPr>
      <w:rFonts w:ascii="Wingdings" w:hAnsi="Wingdings"/>
    </w:rPr>
  </w:style>
  <w:style w:type="paragraph" w:customStyle="1" w:styleId="TableHeading">
    <w:name w:val="Table Heading"/>
    <w:basedOn w:val="HeadingBase"/>
    <w:rsid w:val="00075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C63"/>
    <w:rPr>
      <w:color w:val="0033CC"/>
      <w:u w:val="none"/>
    </w:rPr>
  </w:style>
  <w:style w:type="paragraph" w:customStyle="1" w:styleId="BodyTextRight">
    <w:name w:val="Body Text Right"/>
    <w:basedOn w:val="BodyText"/>
    <w:rsid w:val="00075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C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C63"/>
    <w:rPr>
      <w:sz w:val="32"/>
    </w:rPr>
  </w:style>
  <w:style w:type="paragraph" w:customStyle="1" w:styleId="HeadingProcedure">
    <w:name w:val="Heading Procedure"/>
    <w:basedOn w:val="HeadingBase"/>
    <w:next w:val="Normal"/>
    <w:rsid w:val="00075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C63"/>
    <w:pPr>
      <w:spacing w:before="60" w:after="60"/>
    </w:pPr>
  </w:style>
  <w:style w:type="paragraph" w:styleId="ListContinue">
    <w:name w:val="List Continue"/>
    <w:basedOn w:val="List"/>
    <w:rsid w:val="00075C63"/>
    <w:pPr>
      <w:ind w:firstLine="0"/>
    </w:pPr>
  </w:style>
  <w:style w:type="paragraph" w:customStyle="1" w:styleId="ListNote">
    <w:name w:val="List Note"/>
    <w:basedOn w:val="List"/>
    <w:rsid w:val="00075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C63"/>
    <w:rPr>
      <w:rFonts w:ascii="Courier New" w:hAnsi="Courier New"/>
    </w:rPr>
  </w:style>
  <w:style w:type="paragraph" w:customStyle="1" w:styleId="NoteBullet">
    <w:name w:val="Note Bullet"/>
    <w:basedOn w:val="Note"/>
    <w:rsid w:val="00075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C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5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C63"/>
    <w:rPr>
      <w:b/>
      <w:smallCaps/>
    </w:rPr>
  </w:style>
  <w:style w:type="paragraph" w:customStyle="1" w:styleId="TableListNumber">
    <w:name w:val="Table List Number"/>
    <w:basedOn w:val="ListNumber"/>
    <w:rsid w:val="00075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C63"/>
    <w:pPr>
      <w:numPr>
        <w:numId w:val="9"/>
      </w:numPr>
    </w:pPr>
  </w:style>
  <w:style w:type="paragraph" w:customStyle="1" w:styleId="ListAlpha2">
    <w:name w:val="List Alpha 2"/>
    <w:basedOn w:val="List2"/>
    <w:rsid w:val="00075C63"/>
    <w:pPr>
      <w:numPr>
        <w:numId w:val="8"/>
      </w:numPr>
    </w:pPr>
  </w:style>
  <w:style w:type="paragraph" w:styleId="List2">
    <w:name w:val="List 2"/>
    <w:basedOn w:val="BodyText"/>
    <w:rsid w:val="00075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C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C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5C63"/>
    <w:pPr>
      <w:numPr>
        <w:numId w:val="4"/>
      </w:numPr>
    </w:pPr>
  </w:style>
  <w:style w:type="paragraph" w:styleId="ListContinue2">
    <w:name w:val="List Continue 2"/>
    <w:basedOn w:val="List2"/>
    <w:rsid w:val="00075C63"/>
    <w:pPr>
      <w:ind w:firstLine="0"/>
    </w:pPr>
  </w:style>
  <w:style w:type="paragraph" w:styleId="ListContinue3">
    <w:name w:val="List Continue 3"/>
    <w:basedOn w:val="List3"/>
    <w:rsid w:val="00075C63"/>
    <w:pPr>
      <w:ind w:left="1021" w:firstLine="0"/>
    </w:pPr>
  </w:style>
  <w:style w:type="paragraph" w:styleId="ListContinue4">
    <w:name w:val="List Continue 4"/>
    <w:basedOn w:val="List4"/>
    <w:rsid w:val="00075C63"/>
    <w:pPr>
      <w:ind w:firstLine="0"/>
    </w:pPr>
  </w:style>
  <w:style w:type="paragraph" w:styleId="ListContinue5">
    <w:name w:val="List Continue 5"/>
    <w:basedOn w:val="List5"/>
    <w:rsid w:val="00075C63"/>
    <w:pPr>
      <w:ind w:firstLine="0"/>
    </w:pPr>
  </w:style>
  <w:style w:type="paragraph" w:styleId="ListNumber3">
    <w:name w:val="List Number 3"/>
    <w:basedOn w:val="List3"/>
    <w:rsid w:val="00075C63"/>
    <w:pPr>
      <w:numPr>
        <w:numId w:val="5"/>
      </w:numPr>
    </w:pPr>
  </w:style>
  <w:style w:type="paragraph" w:styleId="ListNumber4">
    <w:name w:val="List Number 4"/>
    <w:basedOn w:val="List4"/>
    <w:rsid w:val="00075C63"/>
    <w:pPr>
      <w:numPr>
        <w:numId w:val="6"/>
      </w:numPr>
    </w:pPr>
  </w:style>
  <w:style w:type="paragraph" w:styleId="ListNumber5">
    <w:name w:val="List Number 5"/>
    <w:basedOn w:val="List5"/>
    <w:rsid w:val="00075C63"/>
    <w:pPr>
      <w:numPr>
        <w:numId w:val="7"/>
      </w:numPr>
    </w:pPr>
  </w:style>
  <w:style w:type="paragraph" w:styleId="BlockText">
    <w:name w:val="Block Text"/>
    <w:basedOn w:val="Normal"/>
    <w:rsid w:val="00075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C63"/>
    <w:rPr>
      <w:sz w:val="16"/>
      <w:vertAlign w:val="superscript"/>
    </w:rPr>
  </w:style>
  <w:style w:type="character" w:customStyle="1" w:styleId="Symbols">
    <w:name w:val="Symbols"/>
    <w:basedOn w:val="DefaultParagraphFont"/>
    <w:rsid w:val="00075C63"/>
    <w:rPr>
      <w:rFonts w:ascii="Symbol" w:hAnsi="Symbol"/>
    </w:rPr>
  </w:style>
  <w:style w:type="character" w:customStyle="1" w:styleId="MenuOptions">
    <w:name w:val="Menu Options"/>
    <w:basedOn w:val="DefaultParagraphFont"/>
    <w:rsid w:val="00075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C63"/>
    <w:rPr>
      <w:b/>
    </w:rPr>
  </w:style>
  <w:style w:type="character" w:customStyle="1" w:styleId="Underlined">
    <w:name w:val="Underlined"/>
    <w:basedOn w:val="DefaultParagraphFont"/>
    <w:rsid w:val="00075C63"/>
    <w:rPr>
      <w:u w:val="single"/>
    </w:rPr>
  </w:style>
  <w:style w:type="paragraph" w:customStyle="1" w:styleId="TableBodyTextRight">
    <w:name w:val="Table Body Text Right"/>
    <w:basedOn w:val="TableBodyText"/>
    <w:rsid w:val="00075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C63"/>
    <w:rPr>
      <w:sz w:val="18"/>
    </w:rPr>
  </w:style>
  <w:style w:type="paragraph" w:customStyle="1" w:styleId="BodySmallRight">
    <w:name w:val="Body Small Right"/>
    <w:basedOn w:val="BodyTextRight"/>
    <w:rsid w:val="00075C63"/>
    <w:rPr>
      <w:sz w:val="18"/>
      <w:szCs w:val="18"/>
    </w:rPr>
  </w:style>
  <w:style w:type="paragraph" w:customStyle="1" w:styleId="MarginEdition">
    <w:name w:val="Margin Edition"/>
    <w:basedOn w:val="MarginNote"/>
    <w:rsid w:val="00075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C63"/>
    <w:rPr>
      <w:sz w:val="2"/>
      <w:szCs w:val="2"/>
    </w:rPr>
  </w:style>
  <w:style w:type="character" w:customStyle="1" w:styleId="Small">
    <w:name w:val="Small"/>
    <w:basedOn w:val="DefaultParagraphFont"/>
    <w:rsid w:val="00075C63"/>
    <w:rPr>
      <w:sz w:val="16"/>
    </w:rPr>
  </w:style>
  <w:style w:type="paragraph" w:customStyle="1" w:styleId="WideTable">
    <w:name w:val="Wide Table"/>
    <w:basedOn w:val="Normal"/>
    <w:rsid w:val="00075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C63"/>
  </w:style>
  <w:style w:type="paragraph" w:styleId="Quote">
    <w:name w:val="Quote"/>
    <w:basedOn w:val="Heading1"/>
    <w:link w:val="QuoteChar"/>
    <w:qFormat/>
    <w:rsid w:val="00075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C63"/>
    <w:pPr>
      <w:pageBreakBefore/>
    </w:pPr>
  </w:style>
  <w:style w:type="paragraph" w:customStyle="1" w:styleId="Border">
    <w:name w:val="Border"/>
    <w:basedOn w:val="Normal"/>
    <w:qFormat/>
    <w:rsid w:val="00075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C63"/>
    <w:rPr>
      <w:u w:val="single"/>
    </w:rPr>
  </w:style>
  <w:style w:type="character" w:customStyle="1" w:styleId="BoldandItalics">
    <w:name w:val="Bold and Italics"/>
    <w:qFormat/>
    <w:rsid w:val="00075C63"/>
    <w:rPr>
      <w:b/>
      <w:i/>
      <w:u w:val="none"/>
    </w:rPr>
  </w:style>
  <w:style w:type="paragraph" w:styleId="BalloonText">
    <w:name w:val="Balloon Text"/>
    <w:basedOn w:val="Normal"/>
    <w:link w:val="BalloonTextChar"/>
    <w:rsid w:val="00075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C63"/>
    <w:pPr>
      <w:spacing w:before="0" w:after="0"/>
    </w:pPr>
  </w:style>
  <w:style w:type="paragraph" w:customStyle="1" w:styleId="BodyTextBold">
    <w:name w:val="Body Text Bold"/>
    <w:basedOn w:val="BodyText"/>
    <w:qFormat/>
    <w:rsid w:val="00075C63"/>
    <w:rPr>
      <w:b/>
    </w:rPr>
  </w:style>
  <w:style w:type="character" w:styleId="Hyperlink">
    <w:name w:val="Hyperlink"/>
    <w:basedOn w:val="DefaultParagraphFont"/>
    <w:uiPriority w:val="99"/>
    <w:unhideWhenUsed/>
    <w:rsid w:val="009172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3584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CPPFES2047 Inspect and test control and indicating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