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4AD2" w:rsidP="003D4AD2">
      <w:pPr>
        <w:pStyle w:val="Title"/>
      </w:pPr>
      <w:r>
        <w:fldChar w:fldCharType="begin"/>
      </w:r>
      <w:r>
        <w:instrText xml:space="preserve"> TITLE   \* MERGEFORMAT </w:instrText>
      </w:r>
      <w:r>
        <w:fldChar w:fldCharType="separate"/>
      </w:r>
      <w:r>
        <w:t>CPPFES2043 Apply regulations to prevent ozone depleting substance and synthetic greenhouse gas emissions</w:t>
      </w:r>
      <w:r>
        <w:fldChar w:fldCharType="end"/>
      </w:r>
    </w:p>
    <w:p w:rsidR="003D4AD2" w:rsidP="003D4AD2">
      <w:pPr>
        <w:pStyle w:val="Version"/>
        <w:sectPr w:rsidSect="008755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5523" w:rsidP="00875523">
      <w:pPr>
        <w:pStyle w:val="SuperHeading"/>
      </w:pPr>
      <w:r w:rsidRPr="00875523">
        <w:t>CPPFES2043 Apply regulations to prevent ozone depleting substance and synthetic greenhouse gas emissions</w:t>
      </w:r>
    </w:p>
    <w:p w:rsidR="00000000" w:rsidRPr="00875523" w:rsidP="00875523">
      <w:pPr>
        <w:pStyle w:val="Heading1"/>
      </w:pPr>
      <w:bookmarkStart w:id="1" w:name="O_1163591"/>
      <w:bookmarkEnd w:id="1"/>
      <w:r w:rsidRPr="00875523">
        <w:t>Modification History</w:t>
      </w:r>
    </w:p>
    <w:tbl>
      <w:tblPr>
        <w:tblW w:w="0" w:type="auto"/>
        <w:tblLayout w:type="fixed"/>
        <w:tblCellMar>
          <w:left w:w="62" w:type="dxa"/>
          <w:right w:w="62" w:type="dxa"/>
        </w:tblCellMar>
        <w:tblLook w:val="0000"/>
      </w:tblPr>
      <w:tblGrid>
        <w:gridCol w:w="1305"/>
        <w:gridCol w:w="7597"/>
      </w:tblGrid>
      <w:tr w:rsidTr="00875523">
        <w:tblPrEx>
          <w:tblW w:w="0" w:type="auto"/>
          <w:tblLayout w:type="fixed"/>
          <w:tblCellMar>
            <w:left w:w="62" w:type="dxa"/>
            <w:right w:w="62" w:type="dxa"/>
          </w:tblCellMar>
          <w:tblLook w:val="0000"/>
        </w:tblPrEx>
        <w:tc>
          <w:tcPr>
            <w:tcW w:w="1305" w:type="dxa"/>
            <w:tcBorders>
              <w:top w:val="nil"/>
              <w:left w:val="nil"/>
              <w:bottom w:val="nil"/>
              <w:right w:val="nil"/>
            </w:tcBorders>
            <w:tcMar>
              <w:top w:w="0" w:type="dxa"/>
              <w:left w:w="62" w:type="dxa"/>
              <w:bottom w:w="0" w:type="dxa"/>
              <w:right w:w="62" w:type="dxa"/>
            </w:tcMar>
          </w:tcPr>
          <w:p w:rsidR="00000000" w:rsidP="00875523">
            <w:pPr>
              <w:pStyle w:val="BodyText"/>
              <w:rPr>
                <w:lang w:val="en-NZ"/>
              </w:rPr>
            </w:pPr>
            <w:r w:rsidRPr="00875523">
              <w:t>Release 1</w:t>
            </w:r>
          </w:p>
        </w:tc>
        <w:tc>
          <w:tcPr>
            <w:tcW w:w="7597" w:type="dxa"/>
            <w:tcBorders>
              <w:top w:val="nil"/>
              <w:left w:val="nil"/>
              <w:bottom w:val="nil"/>
              <w:right w:val="nil"/>
            </w:tcBorders>
            <w:tcMar>
              <w:top w:w="0" w:type="dxa"/>
              <w:left w:w="62" w:type="dxa"/>
              <w:bottom w:w="0" w:type="dxa"/>
              <w:right w:w="62" w:type="dxa"/>
            </w:tcMar>
          </w:tcPr>
          <w:p w:rsidR="00000000" w:rsidRPr="00875523" w:rsidP="00875523">
            <w:pPr>
              <w:pStyle w:val="BodyText"/>
            </w:pPr>
            <w:r w:rsidRPr="00875523">
              <w:t>This version first released with CPP Property Services Training Package Release 13.0.</w:t>
            </w:r>
          </w:p>
          <w:p w:rsidR="00000000" w:rsidRPr="00875523" w:rsidP="00875523">
            <w:pPr>
              <w:pStyle w:val="BodyText"/>
            </w:pPr>
            <w:r w:rsidRPr="00875523">
              <w:t>Supersedes and is equivalent to CPPFES2043A Prevent ozone depleting substance and synthetic greenhouse gas emissions.  Unit updated to meet the Standards for Training Packages 2012. Minor title change.</w:t>
            </w:r>
          </w:p>
        </w:tc>
      </w:tr>
    </w:tbl>
    <w:p w:rsidR="00000000" w:rsidRPr="00875523" w:rsidP="00875523">
      <w:pPr>
        <w:pStyle w:val="BodyText"/>
      </w:pPr>
    </w:p>
    <w:p w:rsidR="00000000" w:rsidRPr="00875523" w:rsidP="00875523">
      <w:pPr>
        <w:pStyle w:val="AllowPageBreak"/>
      </w:pPr>
    </w:p>
    <w:p w:rsidR="00000000" w:rsidRPr="00875523" w:rsidP="00875523">
      <w:pPr>
        <w:pStyle w:val="Heading1"/>
      </w:pPr>
      <w:bookmarkStart w:id="2" w:name="O_1163597"/>
      <w:bookmarkEnd w:id="2"/>
      <w:r w:rsidRPr="00875523">
        <w:t>Application</w:t>
      </w:r>
    </w:p>
    <w:p w:rsidR="00000000" w:rsidRPr="00875523" w:rsidP="003D4AD2">
      <w:pPr>
        <w:pStyle w:val="BodyText"/>
      </w:pPr>
      <w:r w:rsidRPr="00875523">
        <w:t>This unit of competen</w:t>
      </w:r>
      <w:r w:rsidRPr="00875523">
        <w:t>cy specifies the skills and knowledge required to apply regulations and industry licensing requirements to the use of ozone depleting substances (ODS) and synthetic greenhouse gases (SGG) extinguishing agents to prevent emissions that cause ozone layer dep</w:t>
      </w:r>
      <w:r w:rsidRPr="00875523">
        <w:t>letion and climate change.</w:t>
      </w:r>
    </w:p>
    <w:p w:rsidR="00000000" w:rsidRPr="00875523" w:rsidP="003D4AD2">
      <w:pPr>
        <w:pStyle w:val="BodyText"/>
      </w:pPr>
      <w:r w:rsidRPr="00875523">
        <w:t>The unit is suitable for those with basic skills and knowledge undertaking routine work tasks under the direction of more experienced workers.</w:t>
      </w:r>
    </w:p>
    <w:p w:rsidR="00000000" w:rsidRPr="00875523" w:rsidP="003D4AD2">
      <w:pPr>
        <w:pStyle w:val="BodyText"/>
      </w:pPr>
      <w:r w:rsidRPr="00875523">
        <w:t>ODS and SGG are gaseous fire-extinguishing agents listed in Schedule 1 of the Ozone Pr</w:t>
      </w:r>
      <w:r w:rsidRPr="00875523">
        <w:t>otection and Synthetic Greenhouse Gas Management Act 1989 and by law, can only be handled by people who hold an appropriate extinguishing agent handling licence (EAHL). This unit supports one or more EAHLs prescribed under the Act. For further information,</w:t>
      </w:r>
      <w:r w:rsidRPr="00875523">
        <w:t xml:space="preserve"> check with the relevant regulatory authority.</w:t>
      </w:r>
    </w:p>
    <w:p w:rsidR="00000000" w:rsidRPr="00875523" w:rsidP="00875523">
      <w:pPr>
        <w:pStyle w:val="Heading1"/>
      </w:pPr>
      <w:bookmarkStart w:id="3" w:name="O_1163596"/>
      <w:bookmarkEnd w:id="3"/>
      <w:r w:rsidRPr="00875523">
        <w:t>Pre-requisite Unit</w:t>
      </w:r>
    </w:p>
    <w:p w:rsidR="00000000" w:rsidRPr="00875523" w:rsidP="003D4AD2">
      <w:pPr>
        <w:pStyle w:val="BodyText"/>
      </w:pPr>
      <w:r w:rsidRPr="00875523">
        <w:t>Nil.</w:t>
      </w:r>
    </w:p>
    <w:p w:rsidR="00000000" w:rsidRPr="00875523" w:rsidP="00875523">
      <w:pPr>
        <w:pStyle w:val="Heading1"/>
      </w:pPr>
      <w:bookmarkStart w:id="4" w:name="O_1163595"/>
      <w:bookmarkEnd w:id="4"/>
      <w:r w:rsidRPr="00875523">
        <w:t>Unit Sector</w:t>
      </w:r>
    </w:p>
    <w:p w:rsidR="00000000" w:rsidRPr="00875523" w:rsidP="003D4AD2">
      <w:pPr>
        <w:pStyle w:val="BodyText"/>
      </w:pPr>
      <w:r w:rsidRPr="00875523">
        <w:t>Fire Protection Inspection and Testing</w:t>
      </w:r>
    </w:p>
    <w:p w:rsidR="00000000" w:rsidRPr="00875523" w:rsidP="00875523">
      <w:pPr>
        <w:pStyle w:val="Heading1"/>
      </w:pPr>
      <w:bookmarkStart w:id="5" w:name="O_1163594"/>
      <w:bookmarkEnd w:id="5"/>
      <w:r w:rsidRPr="0087552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7552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75523">
            <w:pPr>
              <w:pStyle w:val="BodyText"/>
              <w:rPr>
                <w:lang w:val="en-NZ"/>
              </w:rPr>
            </w:pPr>
            <w:r w:rsidRPr="0087552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75523">
            <w:pPr>
              <w:pStyle w:val="BodyText"/>
              <w:rPr>
                <w:lang w:val="en-NZ"/>
              </w:rPr>
            </w:pPr>
            <w:r w:rsidRPr="00875523">
              <w:t>Performance criteria describe what needs to be done to demonstrate achievement of the element.</w:t>
            </w:r>
          </w:p>
        </w:tc>
      </w:tr>
      <w:tr w:rsidTr="0087552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75523">
            <w:pPr>
              <w:pStyle w:val="BodyText"/>
              <w:rPr>
                <w:lang w:val="en-NZ"/>
              </w:rPr>
            </w:pPr>
            <w:r w:rsidRPr="00875523">
              <w:t>1</w:t>
            </w:r>
          </w:p>
        </w:tc>
        <w:tc>
          <w:tcPr>
            <w:tcW w:w="2357" w:type="dxa"/>
            <w:vMerge w:val="restart"/>
            <w:tcBorders>
              <w:top w:val="nil"/>
              <w:left w:val="nil"/>
              <w:bottom w:val="nil"/>
              <w:right w:val="nil"/>
            </w:tcBorders>
            <w:tcMar>
              <w:top w:w="0" w:type="dxa"/>
              <w:left w:w="62" w:type="dxa"/>
              <w:bottom w:w="0" w:type="dxa"/>
              <w:right w:w="62" w:type="dxa"/>
            </w:tcMar>
          </w:tcPr>
          <w:p w:rsidR="00000000" w:rsidP="00875523">
            <w:pPr>
              <w:pStyle w:val="BodyText"/>
              <w:rPr>
                <w:lang w:val="en-NZ"/>
              </w:rPr>
            </w:pPr>
            <w:r w:rsidRPr="00875523">
              <w:t xml:space="preserve">Apply regulatory requirements to use of </w:t>
            </w:r>
            <w:r w:rsidRPr="00875523">
              <w:t>ODS and SGG extinguishing agents.</w:t>
            </w:r>
          </w:p>
        </w:tc>
        <w:tc>
          <w:tcPr>
            <w:tcW w:w="804" w:type="dxa"/>
            <w:tcBorders>
              <w:top w:val="nil"/>
              <w:left w:val="nil"/>
              <w:bottom w:val="nil"/>
              <w:right w:val="nil"/>
            </w:tcBorders>
            <w:tcMar>
              <w:top w:w="0" w:type="dxa"/>
              <w:left w:w="62" w:type="dxa"/>
              <w:bottom w:w="0" w:type="dxa"/>
              <w:right w:w="62" w:type="dxa"/>
            </w:tcMar>
          </w:tcPr>
          <w:p w:rsidR="00000000" w:rsidP="00875523">
            <w:pPr>
              <w:pStyle w:val="BodyText"/>
              <w:rPr>
                <w:lang w:val="en-NZ"/>
              </w:rPr>
            </w:pPr>
            <w:r w:rsidRPr="00875523">
              <w:t>1.1</w:t>
            </w:r>
          </w:p>
        </w:tc>
        <w:tc>
          <w:tcPr>
            <w:tcW w:w="5659" w:type="dxa"/>
            <w:tcBorders>
              <w:top w:val="nil"/>
              <w:left w:val="nil"/>
              <w:bottom w:val="nil"/>
              <w:right w:val="nil"/>
            </w:tcBorders>
            <w:tcMar>
              <w:top w:w="0" w:type="dxa"/>
              <w:left w:w="62" w:type="dxa"/>
              <w:bottom w:w="0" w:type="dxa"/>
              <w:right w:w="62" w:type="dxa"/>
            </w:tcMar>
          </w:tcPr>
          <w:p w:rsidR="00000000" w:rsidP="00875523">
            <w:pPr>
              <w:pStyle w:val="BodyText"/>
              <w:rPr>
                <w:lang w:val="en-NZ"/>
              </w:rPr>
            </w:pPr>
            <w:r w:rsidRPr="00875523">
              <w:t>Read work instructions to clarify planned use of ODS and SGG extinguishing agen</w:t>
            </w:r>
            <w:r w:rsidRPr="00875523">
              <w:t>ts.</w:t>
            </w:r>
          </w:p>
        </w:tc>
      </w:tr>
      <w:tr w:rsidTr="008755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5523">
            <w:pPr>
              <w:pStyle w:val="BodyText"/>
              <w:rPr>
                <w:lang w:val="en-NZ"/>
              </w:rPr>
            </w:pPr>
            <w:r w:rsidRPr="00875523">
              <w:t>1.2</w:t>
            </w:r>
          </w:p>
        </w:tc>
        <w:tc>
          <w:tcPr>
            <w:tcW w:w="5659" w:type="dxa"/>
            <w:tcBorders>
              <w:top w:val="nil"/>
              <w:left w:val="nil"/>
              <w:bottom w:val="nil"/>
              <w:right w:val="nil"/>
            </w:tcBorders>
            <w:tcMar>
              <w:top w:w="0" w:type="dxa"/>
              <w:left w:w="62" w:type="dxa"/>
              <w:bottom w:w="0" w:type="dxa"/>
              <w:right w:w="62" w:type="dxa"/>
            </w:tcMar>
          </w:tcPr>
          <w:p w:rsidR="00000000" w:rsidP="00875523">
            <w:pPr>
              <w:pStyle w:val="BodyText"/>
              <w:rPr>
                <w:lang w:val="en-NZ"/>
              </w:rPr>
            </w:pPr>
            <w:r w:rsidRPr="00875523">
              <w:t>Identify compliance requirements of relevant regulations and check against work instructions to identify potential and actual breaches of ODS and SGG regulations.</w:t>
            </w:r>
          </w:p>
        </w:tc>
      </w:tr>
      <w:tr w:rsidTr="008755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5523">
            <w:pPr>
              <w:pStyle w:val="BodyText"/>
              <w:rPr>
                <w:lang w:val="en-NZ"/>
              </w:rPr>
            </w:pPr>
            <w:r w:rsidRPr="00875523">
              <w:t>1.3</w:t>
            </w:r>
          </w:p>
        </w:tc>
        <w:tc>
          <w:tcPr>
            <w:tcW w:w="5659" w:type="dxa"/>
            <w:tcBorders>
              <w:top w:val="nil"/>
              <w:left w:val="nil"/>
              <w:bottom w:val="nil"/>
              <w:right w:val="nil"/>
            </w:tcBorders>
            <w:tcMar>
              <w:top w:w="0" w:type="dxa"/>
              <w:left w:w="62" w:type="dxa"/>
              <w:bottom w:w="0" w:type="dxa"/>
              <w:right w:w="62" w:type="dxa"/>
            </w:tcMar>
          </w:tcPr>
          <w:p w:rsidR="00000000" w:rsidP="00875523">
            <w:pPr>
              <w:pStyle w:val="BodyText"/>
              <w:rPr>
                <w:lang w:val="en-NZ"/>
              </w:rPr>
            </w:pPr>
            <w:r w:rsidRPr="00875523">
              <w:t>Record and report identified regulatory non-compliances to prev</w:t>
            </w:r>
            <w:r w:rsidRPr="00875523">
              <w:t>ent ODS and SGG emissions.</w:t>
            </w:r>
          </w:p>
        </w:tc>
      </w:tr>
      <w:tr w:rsidTr="0087552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75523">
            <w:pPr>
              <w:pStyle w:val="BodyText"/>
              <w:rPr>
                <w:lang w:val="en-NZ"/>
              </w:rPr>
            </w:pPr>
          </w:p>
        </w:tc>
      </w:tr>
      <w:tr w:rsidTr="0087552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75523">
            <w:pPr>
              <w:pStyle w:val="BodyText"/>
              <w:rPr>
                <w:lang w:val="en-NZ"/>
              </w:rPr>
            </w:pPr>
            <w:r w:rsidRPr="00875523">
              <w:t>2</w:t>
            </w:r>
          </w:p>
        </w:tc>
        <w:tc>
          <w:tcPr>
            <w:tcW w:w="2357" w:type="dxa"/>
            <w:vMerge w:val="restart"/>
            <w:tcBorders>
              <w:top w:val="nil"/>
              <w:left w:val="nil"/>
              <w:bottom w:val="nil"/>
              <w:right w:val="nil"/>
            </w:tcBorders>
            <w:tcMar>
              <w:top w:w="0" w:type="dxa"/>
              <w:left w:w="62" w:type="dxa"/>
              <w:bottom w:w="0" w:type="dxa"/>
              <w:right w:w="62" w:type="dxa"/>
            </w:tcMar>
          </w:tcPr>
          <w:p w:rsidR="00000000" w:rsidP="00875523">
            <w:pPr>
              <w:pStyle w:val="BodyText"/>
              <w:rPr>
                <w:lang w:val="en-NZ"/>
              </w:rPr>
            </w:pPr>
            <w:r w:rsidRPr="00875523">
              <w:t>Identify ODS and SGG handling licences, trading authorisations and usage permits.</w:t>
            </w:r>
          </w:p>
        </w:tc>
        <w:tc>
          <w:tcPr>
            <w:tcW w:w="804" w:type="dxa"/>
            <w:tcBorders>
              <w:top w:val="nil"/>
              <w:left w:val="nil"/>
              <w:bottom w:val="nil"/>
              <w:right w:val="nil"/>
            </w:tcBorders>
            <w:tcMar>
              <w:top w:w="0" w:type="dxa"/>
              <w:left w:w="62" w:type="dxa"/>
              <w:bottom w:w="0" w:type="dxa"/>
              <w:right w:w="62" w:type="dxa"/>
            </w:tcMar>
          </w:tcPr>
          <w:p w:rsidR="00000000" w:rsidP="00875523">
            <w:pPr>
              <w:pStyle w:val="BodyText"/>
              <w:rPr>
                <w:lang w:val="en-NZ"/>
              </w:rPr>
            </w:pPr>
            <w:r w:rsidRPr="00875523">
              <w:t>2.1</w:t>
            </w:r>
          </w:p>
        </w:tc>
        <w:tc>
          <w:tcPr>
            <w:tcW w:w="5659" w:type="dxa"/>
            <w:tcBorders>
              <w:top w:val="nil"/>
              <w:left w:val="nil"/>
              <w:bottom w:val="nil"/>
              <w:right w:val="nil"/>
            </w:tcBorders>
            <w:tcMar>
              <w:top w:w="0" w:type="dxa"/>
              <w:left w:w="62" w:type="dxa"/>
              <w:bottom w:w="0" w:type="dxa"/>
              <w:right w:w="62" w:type="dxa"/>
            </w:tcMar>
          </w:tcPr>
          <w:p w:rsidR="00000000" w:rsidP="00875523">
            <w:pPr>
              <w:pStyle w:val="BodyText"/>
              <w:rPr>
                <w:lang w:val="en-NZ"/>
              </w:rPr>
            </w:pPr>
            <w:r w:rsidRPr="00875523">
              <w:t>Identify types of ODS and SGG extinguishing agents used in the fire protection industry.</w:t>
            </w:r>
          </w:p>
        </w:tc>
      </w:tr>
      <w:tr w:rsidTr="008755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5523">
            <w:pPr>
              <w:pStyle w:val="BodyText"/>
              <w:rPr>
                <w:lang w:val="en-NZ"/>
              </w:rPr>
            </w:pPr>
            <w:r w:rsidRPr="00875523">
              <w:t>2.2</w:t>
            </w:r>
          </w:p>
        </w:tc>
        <w:tc>
          <w:tcPr>
            <w:tcW w:w="5659" w:type="dxa"/>
            <w:tcBorders>
              <w:top w:val="nil"/>
              <w:left w:val="nil"/>
              <w:bottom w:val="nil"/>
              <w:right w:val="nil"/>
            </w:tcBorders>
            <w:tcMar>
              <w:top w:w="0" w:type="dxa"/>
              <w:left w:w="62" w:type="dxa"/>
              <w:bottom w:w="0" w:type="dxa"/>
              <w:right w:w="62" w:type="dxa"/>
            </w:tcMar>
          </w:tcPr>
          <w:p w:rsidR="00000000" w:rsidP="00875523">
            <w:pPr>
              <w:pStyle w:val="BodyText"/>
              <w:rPr>
                <w:lang w:val="en-NZ"/>
              </w:rPr>
            </w:pPr>
            <w:r w:rsidRPr="00875523">
              <w:t>Identify types and requirements of ODS and SGG EAHLs and licensee entitlements.</w:t>
            </w:r>
          </w:p>
        </w:tc>
      </w:tr>
      <w:tr w:rsidTr="008755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5523">
            <w:pPr>
              <w:pStyle w:val="BodyText"/>
              <w:rPr>
                <w:lang w:val="en-NZ"/>
              </w:rPr>
            </w:pPr>
            <w:r w:rsidRPr="00875523">
              <w:t>2.3</w:t>
            </w:r>
          </w:p>
        </w:tc>
        <w:tc>
          <w:tcPr>
            <w:tcW w:w="5659" w:type="dxa"/>
            <w:tcBorders>
              <w:top w:val="nil"/>
              <w:left w:val="nil"/>
              <w:bottom w:val="nil"/>
              <w:right w:val="nil"/>
            </w:tcBorders>
            <w:tcMar>
              <w:top w:w="0" w:type="dxa"/>
              <w:left w:w="62" w:type="dxa"/>
              <w:bottom w:w="0" w:type="dxa"/>
              <w:right w:w="62" w:type="dxa"/>
            </w:tcMar>
          </w:tcPr>
          <w:p w:rsidR="00000000" w:rsidP="00875523">
            <w:pPr>
              <w:pStyle w:val="BodyText"/>
              <w:rPr>
                <w:lang w:val="en-NZ"/>
              </w:rPr>
            </w:pPr>
            <w:r w:rsidRPr="00875523">
              <w:t>Identify extinguishant trading authorisations.</w:t>
            </w:r>
          </w:p>
        </w:tc>
      </w:tr>
      <w:tr w:rsidTr="008755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5523">
            <w:pPr>
              <w:pStyle w:val="BodyText"/>
              <w:rPr>
                <w:lang w:val="en-NZ"/>
              </w:rPr>
            </w:pPr>
            <w:r w:rsidRPr="00875523">
              <w:t>2.4</w:t>
            </w:r>
          </w:p>
        </w:tc>
        <w:tc>
          <w:tcPr>
            <w:tcW w:w="5659" w:type="dxa"/>
            <w:tcBorders>
              <w:top w:val="nil"/>
              <w:left w:val="nil"/>
              <w:bottom w:val="nil"/>
              <w:right w:val="nil"/>
            </w:tcBorders>
            <w:tcMar>
              <w:top w:w="0" w:type="dxa"/>
              <w:left w:w="62" w:type="dxa"/>
              <w:bottom w:w="0" w:type="dxa"/>
              <w:right w:w="62" w:type="dxa"/>
            </w:tcMar>
          </w:tcPr>
          <w:p w:rsidR="00000000" w:rsidP="00875523">
            <w:pPr>
              <w:pStyle w:val="BodyText"/>
              <w:rPr>
                <w:lang w:val="en-NZ"/>
              </w:rPr>
            </w:pPr>
            <w:r w:rsidRPr="00875523">
              <w:t>Identify halon special permit usage requirements.</w:t>
            </w:r>
          </w:p>
        </w:tc>
      </w:tr>
      <w:tr w:rsidTr="008755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5523">
            <w:pPr>
              <w:pStyle w:val="BodyText"/>
              <w:rPr>
                <w:lang w:val="en-NZ"/>
              </w:rPr>
            </w:pPr>
            <w:r w:rsidRPr="00875523">
              <w:t>2.5</w:t>
            </w:r>
          </w:p>
        </w:tc>
        <w:tc>
          <w:tcPr>
            <w:tcW w:w="5659" w:type="dxa"/>
            <w:tcBorders>
              <w:top w:val="nil"/>
              <w:left w:val="nil"/>
              <w:bottom w:val="nil"/>
              <w:right w:val="nil"/>
            </w:tcBorders>
            <w:tcMar>
              <w:top w:w="0" w:type="dxa"/>
              <w:left w:w="62" w:type="dxa"/>
              <w:bottom w:w="0" w:type="dxa"/>
              <w:right w:w="62" w:type="dxa"/>
            </w:tcMar>
          </w:tcPr>
          <w:p w:rsidR="00000000" w:rsidP="00875523">
            <w:pPr>
              <w:pStyle w:val="BodyText"/>
              <w:rPr>
                <w:lang w:val="en-NZ"/>
              </w:rPr>
            </w:pPr>
            <w:r w:rsidRPr="00875523">
              <w:t>Ap</w:t>
            </w:r>
            <w:r w:rsidRPr="00875523">
              <w:t>ply requirements of ODS and SGG handling licences, trading authorisations and usage permits to work instructions to ensure compliance.</w:t>
            </w:r>
          </w:p>
        </w:tc>
      </w:tr>
      <w:tr w:rsidTr="0087552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75523">
            <w:pPr>
              <w:pStyle w:val="BodyText"/>
              <w:rPr>
                <w:lang w:val="en-NZ"/>
              </w:rPr>
            </w:pPr>
          </w:p>
        </w:tc>
      </w:tr>
      <w:tr w:rsidTr="0087552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75523">
            <w:pPr>
              <w:pStyle w:val="BodyText"/>
              <w:rPr>
                <w:lang w:val="en-NZ"/>
              </w:rPr>
            </w:pPr>
            <w:r w:rsidRPr="00875523">
              <w:t>3</w:t>
            </w:r>
          </w:p>
        </w:tc>
        <w:tc>
          <w:tcPr>
            <w:tcW w:w="2357" w:type="dxa"/>
            <w:vMerge w:val="restart"/>
            <w:tcBorders>
              <w:top w:val="nil"/>
              <w:left w:val="nil"/>
              <w:bottom w:val="nil"/>
              <w:right w:val="nil"/>
            </w:tcBorders>
            <w:tcMar>
              <w:top w:w="0" w:type="dxa"/>
              <w:left w:w="62" w:type="dxa"/>
              <w:bottom w:w="0" w:type="dxa"/>
              <w:right w:w="62" w:type="dxa"/>
            </w:tcMar>
          </w:tcPr>
          <w:p w:rsidR="00000000" w:rsidP="00875523">
            <w:pPr>
              <w:pStyle w:val="BodyText"/>
              <w:rPr>
                <w:lang w:val="en-NZ"/>
              </w:rPr>
            </w:pPr>
            <w:r w:rsidRPr="00875523">
              <w:t>Apply understanding of ozone layer depletion and global warming.</w:t>
            </w:r>
          </w:p>
        </w:tc>
        <w:tc>
          <w:tcPr>
            <w:tcW w:w="804" w:type="dxa"/>
            <w:tcBorders>
              <w:top w:val="nil"/>
              <w:left w:val="nil"/>
              <w:bottom w:val="nil"/>
              <w:right w:val="nil"/>
            </w:tcBorders>
            <w:tcMar>
              <w:top w:w="0" w:type="dxa"/>
              <w:left w:w="62" w:type="dxa"/>
              <w:bottom w:w="0" w:type="dxa"/>
              <w:right w:w="62" w:type="dxa"/>
            </w:tcMar>
          </w:tcPr>
          <w:p w:rsidR="00000000" w:rsidP="00875523">
            <w:pPr>
              <w:pStyle w:val="BodyText"/>
              <w:rPr>
                <w:lang w:val="en-NZ"/>
              </w:rPr>
            </w:pPr>
            <w:r w:rsidRPr="00875523">
              <w:t>3.1</w:t>
            </w:r>
          </w:p>
        </w:tc>
        <w:tc>
          <w:tcPr>
            <w:tcW w:w="5659" w:type="dxa"/>
            <w:tcBorders>
              <w:top w:val="nil"/>
              <w:left w:val="nil"/>
              <w:bottom w:val="nil"/>
              <w:right w:val="nil"/>
            </w:tcBorders>
            <w:tcMar>
              <w:top w:w="0" w:type="dxa"/>
              <w:left w:w="62" w:type="dxa"/>
              <w:bottom w:w="0" w:type="dxa"/>
              <w:right w:w="62" w:type="dxa"/>
            </w:tcMar>
          </w:tcPr>
          <w:p w:rsidR="00000000" w:rsidP="00875523">
            <w:pPr>
              <w:pStyle w:val="BodyText"/>
              <w:rPr>
                <w:lang w:val="en-NZ"/>
              </w:rPr>
            </w:pPr>
            <w:r w:rsidRPr="00875523">
              <w:t>Use information technology to access and ass</w:t>
            </w:r>
            <w:r w:rsidRPr="00875523">
              <w:t>ess information to identify the basic role and functions of the ozone layer.</w:t>
            </w:r>
          </w:p>
        </w:tc>
      </w:tr>
      <w:tr w:rsidTr="008755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5523">
            <w:pPr>
              <w:pStyle w:val="BodyText"/>
              <w:rPr>
                <w:lang w:val="en-NZ"/>
              </w:rPr>
            </w:pPr>
            <w:r w:rsidRPr="00875523">
              <w:t>3.2</w:t>
            </w:r>
          </w:p>
        </w:tc>
        <w:tc>
          <w:tcPr>
            <w:tcW w:w="5659" w:type="dxa"/>
            <w:tcBorders>
              <w:top w:val="nil"/>
              <w:left w:val="nil"/>
              <w:bottom w:val="nil"/>
              <w:right w:val="nil"/>
            </w:tcBorders>
            <w:tcMar>
              <w:top w:w="0" w:type="dxa"/>
              <w:left w:w="62" w:type="dxa"/>
              <w:bottom w:w="0" w:type="dxa"/>
              <w:right w:w="62" w:type="dxa"/>
            </w:tcMar>
          </w:tcPr>
          <w:p w:rsidR="00000000" w:rsidP="00875523">
            <w:pPr>
              <w:pStyle w:val="BodyText"/>
              <w:rPr>
                <w:lang w:val="en-NZ"/>
              </w:rPr>
            </w:pPr>
            <w:r w:rsidRPr="00875523">
              <w:t>Identify the main factors involved with, and effects of, global warming.</w:t>
            </w:r>
          </w:p>
        </w:tc>
      </w:tr>
      <w:tr w:rsidTr="008755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5523">
            <w:pPr>
              <w:pStyle w:val="BodyText"/>
              <w:rPr>
                <w:lang w:val="en-NZ"/>
              </w:rPr>
            </w:pPr>
            <w:r w:rsidRPr="00875523">
              <w:t>3.3</w:t>
            </w:r>
          </w:p>
        </w:tc>
        <w:tc>
          <w:tcPr>
            <w:tcW w:w="5659" w:type="dxa"/>
            <w:tcBorders>
              <w:top w:val="nil"/>
              <w:left w:val="nil"/>
              <w:bottom w:val="nil"/>
              <w:right w:val="nil"/>
            </w:tcBorders>
            <w:tcMar>
              <w:top w:w="0" w:type="dxa"/>
              <w:left w:w="62" w:type="dxa"/>
              <w:bottom w:w="0" w:type="dxa"/>
              <w:right w:w="62" w:type="dxa"/>
            </w:tcMar>
          </w:tcPr>
          <w:p w:rsidR="00000000" w:rsidP="00875523">
            <w:pPr>
              <w:pStyle w:val="BodyText"/>
              <w:rPr>
                <w:lang w:val="en-NZ"/>
              </w:rPr>
            </w:pPr>
            <w:r w:rsidRPr="00875523">
              <w:t>Identify the major effects of ozone depletion and climate change on human health and the environment.</w:t>
            </w:r>
          </w:p>
        </w:tc>
      </w:tr>
      <w:tr w:rsidTr="008755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5523">
            <w:pPr>
              <w:pStyle w:val="BodyText"/>
              <w:rPr>
                <w:lang w:val="en-NZ"/>
              </w:rPr>
            </w:pPr>
            <w:r w:rsidRPr="00875523">
              <w:t>3.4</w:t>
            </w:r>
          </w:p>
        </w:tc>
        <w:tc>
          <w:tcPr>
            <w:tcW w:w="5659" w:type="dxa"/>
            <w:tcBorders>
              <w:top w:val="nil"/>
              <w:left w:val="nil"/>
              <w:bottom w:val="nil"/>
              <w:right w:val="nil"/>
            </w:tcBorders>
            <w:tcMar>
              <w:top w:w="0" w:type="dxa"/>
              <w:left w:w="62" w:type="dxa"/>
              <w:bottom w:w="0" w:type="dxa"/>
              <w:right w:w="62" w:type="dxa"/>
            </w:tcMar>
          </w:tcPr>
          <w:p w:rsidR="00000000" w:rsidP="00875523">
            <w:pPr>
              <w:pStyle w:val="BodyText"/>
              <w:rPr>
                <w:lang w:val="en-NZ"/>
              </w:rPr>
            </w:pPr>
            <w:r w:rsidRPr="00875523">
              <w:t>Identify the impact of ODS and SGG emissions on the ozone layer and climate change.</w:t>
            </w:r>
          </w:p>
        </w:tc>
      </w:tr>
      <w:tr w:rsidTr="0087552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5523">
            <w:pPr>
              <w:pStyle w:val="BodyText"/>
              <w:rPr>
                <w:lang w:val="en-NZ"/>
              </w:rPr>
            </w:pPr>
            <w:r w:rsidRPr="00875523">
              <w:t>3.5</w:t>
            </w:r>
          </w:p>
        </w:tc>
        <w:tc>
          <w:tcPr>
            <w:tcW w:w="5659" w:type="dxa"/>
            <w:tcBorders>
              <w:top w:val="nil"/>
              <w:left w:val="nil"/>
              <w:bottom w:val="nil"/>
              <w:right w:val="nil"/>
            </w:tcBorders>
            <w:tcMar>
              <w:top w:w="0" w:type="dxa"/>
              <w:left w:w="62" w:type="dxa"/>
              <w:bottom w:w="0" w:type="dxa"/>
              <w:right w:w="62" w:type="dxa"/>
            </w:tcMar>
          </w:tcPr>
          <w:p w:rsidR="00000000" w:rsidRPr="00875523" w:rsidP="00875523">
            <w:pPr>
              <w:pStyle w:val="BodyText"/>
            </w:pPr>
            <w:r w:rsidRPr="00875523">
              <w:t>Identify common ODS and SGG work practices in the fire protection industry and propose improvements to reduce the risk of accidental emissions.</w:t>
            </w:r>
          </w:p>
        </w:tc>
      </w:tr>
    </w:tbl>
    <w:p w:rsidR="00000000" w:rsidRPr="00875523" w:rsidP="00875523">
      <w:pPr>
        <w:pStyle w:val="BodyText"/>
      </w:pPr>
    </w:p>
    <w:p w:rsidR="00000000" w:rsidRPr="00875523" w:rsidP="00875523">
      <w:pPr>
        <w:pStyle w:val="AllowPageBreak"/>
      </w:pPr>
    </w:p>
    <w:p w:rsidR="00000000" w:rsidRPr="00875523" w:rsidP="00875523">
      <w:pPr>
        <w:pStyle w:val="Heading1"/>
      </w:pPr>
      <w:bookmarkStart w:id="6" w:name="O_1163593"/>
      <w:bookmarkEnd w:id="6"/>
      <w:r w:rsidRPr="00875523">
        <w:t>Foundation Skills</w:t>
      </w:r>
    </w:p>
    <w:p w:rsidR="00000000" w:rsidRPr="00875523" w:rsidP="003D4AD2">
      <w:pPr>
        <w:pStyle w:val="BodyText"/>
      </w:pPr>
      <w:r w:rsidRPr="00875523">
        <w:t>Foundation skills essential to performance are explicit in the performanc</w:t>
      </w:r>
      <w:r w:rsidRPr="00875523">
        <w:t>e criteria of this unit of competency.</w:t>
      </w:r>
    </w:p>
    <w:p w:rsidR="00000000" w:rsidRPr="00875523" w:rsidP="00875523">
      <w:pPr>
        <w:pStyle w:val="Heading1"/>
      </w:pPr>
      <w:bookmarkStart w:id="7" w:name="O_1163592"/>
      <w:bookmarkEnd w:id="7"/>
      <w:r w:rsidRPr="00875523">
        <w:t>Unit Mapping Information</w:t>
      </w:r>
    </w:p>
    <w:p w:rsidR="00000000" w:rsidRPr="00875523" w:rsidP="003D4AD2">
      <w:pPr>
        <w:pStyle w:val="BodyText"/>
      </w:pPr>
      <w:r w:rsidRPr="00875523">
        <w:t>Supersedes and is equivalent to CPPFES2043A Prevent ozone depleting substance and synthetic greenhouse gas emissions.</w:t>
      </w:r>
    </w:p>
    <w:p w:rsidR="00000000" w:rsidRPr="00875523" w:rsidP="00875523">
      <w:pPr>
        <w:pStyle w:val="Heading1"/>
      </w:pPr>
      <w:bookmarkStart w:id="8" w:name="O_1163585"/>
      <w:bookmarkEnd w:id="8"/>
      <w:r w:rsidRPr="00875523">
        <w:t>Links</w:t>
      </w:r>
    </w:p>
    <w:p w:rsidR="00000000" w:rsidRPr="00875523" w:rsidP="003D4AD2">
      <w:pPr>
        <w:pStyle w:val="BodyText"/>
      </w:pPr>
      <w:r w:rsidRPr="00875523">
        <w:t>Companion volumes to this trai</w:t>
      </w:r>
      <w:r w:rsidRPr="00875523">
        <w:t xml:space="preserve">ning package are available at the VETNet website - </w:t>
      </w:r>
      <w:r>
        <w:fldChar w:fldCharType="begin"/>
      </w:r>
      <w:r>
        <w:instrText xml:space="preserve"> HYPERLINK "https://vetnet.gov.au/Pages/TrainingDocs.aspx?q=6f3f9672-30e8-4835-b348-205dfcf13d9b" </w:instrText>
      </w:r>
      <w:r>
        <w:fldChar w:fldCharType="separate"/>
      </w:r>
      <w:r w:rsidRPr="00F37C47">
        <w:rPr>
          <w:rStyle w:val="Hyperlink"/>
        </w:rPr>
        <w:t>https://vetnet.gov.au/Pages/TrainingDocs.aspx?q=6f3f9672-30e8-4835-b348-205dfcf13d9b</w:t>
      </w:r>
      <w:r>
        <w:fldChar w:fldCharType="end"/>
      </w:r>
    </w:p>
    <w:p w:rsidR="00000000" w:rsidRPr="00875523" w:rsidP="00875523"/>
    <w:sectPr w:rsidSect="008755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5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523" w:rsidRPr="003D4AD2" w:rsidP="003D4A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5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AD2" w:rsidP="008755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4AD2" w:rsidP="0087552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3D4AD2" w:rsidP="008755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5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A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5523" w:rsidRPr="003D4AD2" w:rsidP="003D4A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5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AD2" w:rsidRPr="002D2AF8" w:rsidP="00875523">
    <w:pPr>
      <w:pStyle w:val="Header"/>
      <w:framePr w:wrap="around"/>
    </w:pPr>
    <w:r>
      <w:fldChar w:fldCharType="begin"/>
    </w:r>
    <w:r>
      <w:instrText xml:space="preserve"> TITLE   \* MERGEFORMAT </w:instrText>
    </w:r>
    <w:r>
      <w:fldChar w:fldCharType="separate"/>
    </w:r>
    <w:r>
      <w:t>CPPFES2043 Apply regulations to prevent ozone depleting substance and synthetic greenhouse gas emissions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D4AD2" w:rsidP="008755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5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5523"/>
    <w:pPr>
      <w:spacing w:before="360" w:after="60"/>
      <w:outlineLvl w:val="0"/>
    </w:pPr>
    <w:rPr>
      <w:sz w:val="32"/>
    </w:rPr>
  </w:style>
  <w:style w:type="paragraph" w:styleId="Heading2">
    <w:name w:val="heading 2"/>
    <w:basedOn w:val="HeadingBase"/>
    <w:next w:val="BodyText"/>
    <w:link w:val="Heading2Char"/>
    <w:qFormat/>
    <w:rsid w:val="00875523"/>
    <w:pPr>
      <w:keepLines/>
      <w:spacing w:before="240" w:after="120"/>
      <w:outlineLvl w:val="1"/>
    </w:pPr>
    <w:rPr>
      <w:sz w:val="28"/>
      <w:szCs w:val="40"/>
    </w:rPr>
  </w:style>
  <w:style w:type="paragraph" w:styleId="Heading3">
    <w:name w:val="heading 3"/>
    <w:basedOn w:val="HeadingBase"/>
    <w:next w:val="BodyText"/>
    <w:link w:val="Heading3Char"/>
    <w:qFormat/>
    <w:rsid w:val="00875523"/>
    <w:pPr>
      <w:spacing w:before="180" w:after="120"/>
      <w:outlineLvl w:val="2"/>
    </w:pPr>
    <w:rPr>
      <w:spacing w:val="-10"/>
      <w:kern w:val="32"/>
    </w:rPr>
  </w:style>
  <w:style w:type="paragraph" w:styleId="Heading4">
    <w:name w:val="heading 4"/>
    <w:basedOn w:val="HeadingBase"/>
    <w:next w:val="BodyText"/>
    <w:link w:val="Heading4Char"/>
    <w:qFormat/>
    <w:rsid w:val="00875523"/>
    <w:pPr>
      <w:spacing w:before="160" w:after="120"/>
      <w:outlineLvl w:val="3"/>
    </w:pPr>
    <w:rPr>
      <w:sz w:val="22"/>
    </w:rPr>
  </w:style>
  <w:style w:type="paragraph" w:styleId="Heading5">
    <w:name w:val="heading 5"/>
    <w:basedOn w:val="HeadingBase"/>
    <w:next w:val="Normal"/>
    <w:link w:val="Heading5Char"/>
    <w:qFormat/>
    <w:rsid w:val="00875523"/>
    <w:pPr>
      <w:spacing w:before="80"/>
      <w:outlineLvl w:val="4"/>
    </w:pPr>
    <w:rPr>
      <w:color w:val="918585"/>
      <w:sz w:val="20"/>
    </w:rPr>
  </w:style>
  <w:style w:type="paragraph" w:styleId="Heading6">
    <w:name w:val="heading 6"/>
    <w:basedOn w:val="HeadingBase"/>
    <w:next w:val="Normal"/>
    <w:link w:val="Heading6Char"/>
    <w:qFormat/>
    <w:rsid w:val="00875523"/>
    <w:pPr>
      <w:spacing w:before="60"/>
      <w:outlineLvl w:val="5"/>
    </w:pPr>
    <w:rPr>
      <w:color w:val="918585"/>
      <w:sz w:val="20"/>
    </w:rPr>
  </w:style>
  <w:style w:type="paragraph" w:styleId="Heading7">
    <w:name w:val="heading 7"/>
    <w:basedOn w:val="Normal"/>
    <w:next w:val="Normal"/>
    <w:link w:val="Heading7Char"/>
    <w:qFormat/>
    <w:rsid w:val="00875523"/>
    <w:pPr>
      <w:ind w:left="720"/>
      <w:outlineLvl w:val="6"/>
    </w:pPr>
    <w:rPr>
      <w:i/>
    </w:rPr>
  </w:style>
  <w:style w:type="paragraph" w:styleId="Heading8">
    <w:name w:val="heading 8"/>
    <w:basedOn w:val="Normal"/>
    <w:next w:val="Normal"/>
    <w:link w:val="Heading8Char"/>
    <w:qFormat/>
    <w:rsid w:val="00875523"/>
    <w:pPr>
      <w:ind w:left="720"/>
      <w:outlineLvl w:val="7"/>
    </w:pPr>
    <w:rPr>
      <w:i/>
    </w:rPr>
  </w:style>
  <w:style w:type="paragraph" w:styleId="Heading9">
    <w:name w:val="heading 9"/>
    <w:basedOn w:val="Normal"/>
    <w:next w:val="Normal"/>
    <w:link w:val="Heading9Char"/>
    <w:qFormat/>
    <w:rsid w:val="00875523"/>
    <w:pPr>
      <w:ind w:left="720"/>
      <w:outlineLvl w:val="8"/>
    </w:pPr>
    <w:rPr>
      <w:i/>
    </w:rPr>
  </w:style>
  <w:style w:type="character" w:default="1" w:styleId="DefaultParagraphFont">
    <w:name w:val="Default Paragraph Font"/>
    <w:uiPriority w:val="1"/>
    <w:unhideWhenUsed/>
    <w:rsid w:val="008755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5523"/>
  </w:style>
  <w:style w:type="character" w:customStyle="1" w:styleId="Heading1Char">
    <w:name w:val="Heading 1 Char"/>
    <w:basedOn w:val="DefaultParagraphFont"/>
    <w:link w:val="Heading1"/>
    <w:rsid w:val="00875523"/>
    <w:rPr>
      <w:rFonts w:ascii="Times New Roman" w:eastAsia="Times New Roman" w:hAnsi="Times New Roman" w:cs="Times New Roman"/>
      <w:b/>
      <w:sz w:val="32"/>
      <w:szCs w:val="20"/>
      <w:lang w:eastAsia="en-US"/>
    </w:rPr>
  </w:style>
  <w:style w:type="paragraph" w:styleId="BodyText">
    <w:name w:val="Body Text"/>
    <w:basedOn w:val="Normal"/>
    <w:link w:val="BodyTextChar"/>
    <w:rsid w:val="008755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5523"/>
    <w:rPr>
      <w:rFonts w:ascii="Times New Roman" w:eastAsia="Times New Roman" w:hAnsi="Times New Roman" w:cs="Times New Roman"/>
      <w:sz w:val="24"/>
      <w:lang w:eastAsia="en-US"/>
    </w:rPr>
  </w:style>
  <w:style w:type="paragraph" w:customStyle="1" w:styleId="SuperHeading">
    <w:name w:val="SuperHeading"/>
    <w:basedOn w:val="Normal"/>
    <w:rsid w:val="00875523"/>
    <w:pPr>
      <w:spacing w:before="240" w:after="120"/>
      <w:outlineLvl w:val="0"/>
    </w:pPr>
    <w:rPr>
      <w:rFonts w:ascii="Times New Roman" w:hAnsi="Times New Roman"/>
      <w:b/>
      <w:sz w:val="32"/>
    </w:rPr>
  </w:style>
  <w:style w:type="paragraph" w:customStyle="1" w:styleId="AllowPageBreak">
    <w:name w:val="AllowPageBreak"/>
    <w:rsid w:val="008755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55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55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55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55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55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55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55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5523"/>
    <w:rPr>
      <w:rFonts w:ascii="Courier New" w:eastAsia="Times New Roman" w:hAnsi="Courier New" w:cs="Times New Roman"/>
      <w:i/>
      <w:szCs w:val="20"/>
      <w:lang w:eastAsia="en-US"/>
    </w:rPr>
  </w:style>
  <w:style w:type="paragraph" w:customStyle="1" w:styleId="HeadingBase">
    <w:name w:val="Heading Base"/>
    <w:rsid w:val="008755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5523"/>
    <w:pPr>
      <w:tabs>
        <w:tab w:val="right" w:leader="dot" w:pos="9072"/>
      </w:tabs>
      <w:ind w:left="567"/>
    </w:pPr>
    <w:rPr>
      <w:szCs w:val="22"/>
    </w:rPr>
  </w:style>
  <w:style w:type="paragraph" w:customStyle="1" w:styleId="TOCBase">
    <w:name w:val="TOC Base"/>
    <w:rsid w:val="008755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5523"/>
    <w:pPr>
      <w:tabs>
        <w:tab w:val="right" w:leader="dot" w:pos="9072"/>
      </w:tabs>
      <w:spacing w:before="40" w:after="40"/>
      <w:ind w:left="284"/>
    </w:pPr>
    <w:rPr>
      <w:rFonts w:ascii="Times New Roman" w:hAnsi="Times New Roman"/>
    </w:rPr>
  </w:style>
  <w:style w:type="paragraph" w:styleId="TOC1">
    <w:name w:val="toc 1"/>
    <w:basedOn w:val="TOCBase"/>
    <w:next w:val="Normal"/>
    <w:rsid w:val="008755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55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5523"/>
    <w:rPr>
      <w:rFonts w:ascii="Times New Roman" w:eastAsia="Times New Roman" w:hAnsi="Times New Roman" w:cs="Times New Roman"/>
      <w:sz w:val="16"/>
      <w:lang w:eastAsia="en-US"/>
    </w:rPr>
  </w:style>
  <w:style w:type="paragraph" w:styleId="Title">
    <w:name w:val="Title"/>
    <w:basedOn w:val="HeadingBase"/>
    <w:link w:val="TitleChar"/>
    <w:qFormat/>
    <w:rsid w:val="00875523"/>
    <w:pPr>
      <w:spacing w:before="5040"/>
      <w:jc w:val="center"/>
    </w:pPr>
    <w:rPr>
      <w:sz w:val="48"/>
      <w:szCs w:val="72"/>
      <w:lang w:val="en-US"/>
    </w:rPr>
  </w:style>
  <w:style w:type="character" w:customStyle="1" w:styleId="TitleChar">
    <w:name w:val="Title Char"/>
    <w:basedOn w:val="DefaultParagraphFont"/>
    <w:link w:val="Title"/>
    <w:rsid w:val="008755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5523"/>
    <w:pPr>
      <w:tabs>
        <w:tab w:val="left" w:pos="3600"/>
        <w:tab w:val="left" w:pos="3958"/>
      </w:tabs>
    </w:pPr>
  </w:style>
  <w:style w:type="paragraph" w:styleId="List">
    <w:name w:val="List"/>
    <w:basedOn w:val="BodyText"/>
    <w:next w:val="BodyText"/>
    <w:rsid w:val="00875523"/>
    <w:pPr>
      <w:tabs>
        <w:tab w:val="left" w:pos="340"/>
      </w:tabs>
      <w:spacing w:before="60" w:after="60"/>
      <w:ind w:left="340" w:hanging="340"/>
    </w:pPr>
  </w:style>
  <w:style w:type="paragraph" w:styleId="ListBullet">
    <w:name w:val="List Bullet"/>
    <w:basedOn w:val="List"/>
    <w:rsid w:val="00875523"/>
    <w:pPr>
      <w:numPr>
        <w:numId w:val="10"/>
      </w:numPr>
      <w:tabs>
        <w:tab w:val="clear" w:pos="340"/>
      </w:tabs>
      <w:spacing w:before="40" w:after="40"/>
    </w:pPr>
  </w:style>
  <w:style w:type="paragraph" w:customStyle="1" w:styleId="Note">
    <w:name w:val="Note"/>
    <w:basedOn w:val="BodyText"/>
    <w:rsid w:val="0087552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5523"/>
    <w:rPr>
      <w:b/>
      <w:spacing w:val="0"/>
    </w:rPr>
  </w:style>
  <w:style w:type="paragraph" w:customStyle="1" w:styleId="SuperTitle">
    <w:name w:val="SuperTitle"/>
    <w:basedOn w:val="Title"/>
    <w:rsid w:val="00875523"/>
    <w:pPr>
      <w:framePr w:wrap="auto" w:hAnchor="text" w:y="6049"/>
    </w:pPr>
    <w:rPr>
      <w:color w:val="000000"/>
      <w:sz w:val="40"/>
    </w:rPr>
  </w:style>
  <w:style w:type="paragraph" w:customStyle="1" w:styleId="TOCTitle">
    <w:name w:val="TOCTitle"/>
    <w:basedOn w:val="Heading1"/>
    <w:rsid w:val="00875523"/>
    <w:pPr>
      <w:spacing w:after="240"/>
      <w:jc w:val="center"/>
      <w:outlineLvl w:val="9"/>
    </w:pPr>
    <w:rPr>
      <w:caps/>
    </w:rPr>
  </w:style>
  <w:style w:type="paragraph" w:customStyle="1" w:styleId="Version">
    <w:name w:val="Version"/>
    <w:rsid w:val="008755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5523"/>
    <w:pPr>
      <w:numPr>
        <w:numId w:val="11"/>
      </w:numPr>
      <w:tabs>
        <w:tab w:val="clear" w:pos="680"/>
      </w:tabs>
    </w:pPr>
  </w:style>
  <w:style w:type="paragraph" w:styleId="Index1">
    <w:name w:val="index 1"/>
    <w:basedOn w:val="Normal"/>
    <w:next w:val="Normal"/>
    <w:semiHidden/>
    <w:rsid w:val="00875523"/>
    <w:pPr>
      <w:keepNext w:val="0"/>
      <w:tabs>
        <w:tab w:val="right" w:pos="4176"/>
      </w:tabs>
      <w:ind w:left="198" w:hanging="198"/>
    </w:pPr>
    <w:rPr>
      <w:rFonts w:ascii="Garamond" w:hAnsi="Garamond"/>
    </w:rPr>
  </w:style>
  <w:style w:type="paragraph" w:styleId="IndexHeading">
    <w:name w:val="index heading"/>
    <w:basedOn w:val="Normal"/>
    <w:next w:val="Index1"/>
    <w:semiHidden/>
    <w:rsid w:val="00875523"/>
    <w:pPr>
      <w:spacing w:before="120" w:after="120"/>
    </w:pPr>
    <w:rPr>
      <w:rFonts w:ascii="Arial" w:hAnsi="Arial"/>
      <w:b/>
      <w:color w:val="918585"/>
      <w:sz w:val="24"/>
    </w:rPr>
  </w:style>
  <w:style w:type="paragraph" w:styleId="Header">
    <w:name w:val="header"/>
    <w:basedOn w:val="Normal"/>
    <w:link w:val="HeaderChar"/>
    <w:rsid w:val="008755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5523"/>
    <w:rPr>
      <w:rFonts w:ascii="Times New Roman" w:eastAsia="Times New Roman" w:hAnsi="Times New Roman" w:cs="Times New Roman"/>
      <w:sz w:val="16"/>
      <w:szCs w:val="20"/>
      <w:lang w:val="en-GB" w:eastAsia="en-US"/>
    </w:rPr>
  </w:style>
  <w:style w:type="paragraph" w:customStyle="1" w:styleId="Chapter">
    <w:name w:val="Chapter"/>
    <w:basedOn w:val="Normal"/>
    <w:rsid w:val="00875523"/>
    <w:pPr>
      <w:spacing w:before="240"/>
    </w:pPr>
    <w:rPr>
      <w:rFonts w:ascii="Times New Roman" w:hAnsi="Times New Roman"/>
      <w:smallCaps/>
      <w:spacing w:val="80"/>
      <w:sz w:val="28"/>
    </w:rPr>
  </w:style>
  <w:style w:type="paragraph" w:customStyle="1" w:styleId="InChapter">
    <w:name w:val="InChapter"/>
    <w:basedOn w:val="Heading3"/>
    <w:rsid w:val="00875523"/>
    <w:pPr>
      <w:spacing w:after="240"/>
      <w:outlineLvl w:val="9"/>
    </w:pPr>
    <w:rPr>
      <w:noProof/>
    </w:rPr>
  </w:style>
  <w:style w:type="paragraph" w:styleId="Index2">
    <w:name w:val="index 2"/>
    <w:basedOn w:val="Normal"/>
    <w:next w:val="Normal"/>
    <w:semiHidden/>
    <w:rsid w:val="00875523"/>
    <w:pPr>
      <w:tabs>
        <w:tab w:val="right" w:pos="4176"/>
      </w:tabs>
      <w:ind w:left="568" w:hanging="284"/>
    </w:pPr>
    <w:rPr>
      <w:rFonts w:ascii="Garamond" w:hAnsi="Garamond"/>
    </w:rPr>
  </w:style>
  <w:style w:type="paragraph" w:customStyle="1" w:styleId="Byline">
    <w:name w:val="Byline"/>
    <w:rsid w:val="008755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5523"/>
    <w:pPr>
      <w:tabs>
        <w:tab w:val="clear" w:pos="3600"/>
        <w:tab w:val="clear" w:pos="3958"/>
      </w:tabs>
      <w:jc w:val="right"/>
    </w:pPr>
  </w:style>
  <w:style w:type="character" w:styleId="Emphasis">
    <w:name w:val="Emphasis"/>
    <w:basedOn w:val="DefaultParagraphFont"/>
    <w:qFormat/>
    <w:rsid w:val="00875523"/>
    <w:rPr>
      <w:i/>
    </w:rPr>
  </w:style>
  <w:style w:type="paragraph" w:styleId="Caption">
    <w:name w:val="caption"/>
    <w:basedOn w:val="BodyText"/>
    <w:next w:val="Normal"/>
    <w:qFormat/>
    <w:rsid w:val="00875523"/>
    <w:pPr>
      <w:framePr w:w="2268" w:hSpace="181" w:vSpace="181" w:wrap="around" w:vAnchor="text" w:hAnchor="page" w:x="1135" w:y="285" w:anchorLock="1"/>
    </w:pPr>
    <w:rPr>
      <w:i/>
    </w:rPr>
  </w:style>
  <w:style w:type="paragraph" w:customStyle="1" w:styleId="MiniTOCTitle">
    <w:name w:val="MiniTOCTitle"/>
    <w:basedOn w:val="Heading4"/>
    <w:rsid w:val="00875523"/>
    <w:pPr>
      <w:spacing w:before="240"/>
      <w:outlineLvl w:val="9"/>
    </w:pPr>
    <w:rPr>
      <w:noProof/>
      <w:sz w:val="24"/>
    </w:rPr>
  </w:style>
  <w:style w:type="paragraph" w:customStyle="1" w:styleId="MiniTOCItem">
    <w:name w:val="MiniTOCItem"/>
    <w:basedOn w:val="ListBullet"/>
    <w:rsid w:val="00875523"/>
    <w:pPr>
      <w:numPr>
        <w:numId w:val="0"/>
      </w:numPr>
      <w:tabs>
        <w:tab w:val="right" w:leader="dot" w:pos="6521"/>
      </w:tabs>
      <w:spacing w:before="0" w:after="0"/>
    </w:pPr>
  </w:style>
  <w:style w:type="paragraph" w:customStyle="1" w:styleId="TOFTitle">
    <w:name w:val="TOFTitle"/>
    <w:basedOn w:val="TOCTitle"/>
    <w:rsid w:val="00875523"/>
  </w:style>
  <w:style w:type="paragraph" w:styleId="TableofFigures">
    <w:name w:val="table of figures"/>
    <w:basedOn w:val="Normal"/>
    <w:next w:val="Normal"/>
    <w:semiHidden/>
    <w:rsid w:val="00875523"/>
    <w:pPr>
      <w:tabs>
        <w:tab w:val="right" w:leader="dot" w:pos="9072"/>
      </w:tabs>
      <w:ind w:left="970" w:hanging="403"/>
    </w:pPr>
    <w:rPr>
      <w:rFonts w:ascii="Times New Roman" w:hAnsi="Times New Roman"/>
      <w:b/>
    </w:rPr>
  </w:style>
  <w:style w:type="paragraph" w:styleId="ListNumber">
    <w:name w:val="List Number"/>
    <w:basedOn w:val="List"/>
    <w:rsid w:val="00875523"/>
    <w:pPr>
      <w:numPr>
        <w:numId w:val="13"/>
      </w:numPr>
      <w:tabs>
        <w:tab w:val="clear" w:pos="340"/>
      </w:tabs>
    </w:pPr>
  </w:style>
  <w:style w:type="character" w:customStyle="1" w:styleId="WingdingSymbols">
    <w:name w:val="Wingding Symbols"/>
    <w:rsid w:val="00875523"/>
    <w:rPr>
      <w:rFonts w:ascii="Wingdings" w:hAnsi="Wingdings"/>
    </w:rPr>
  </w:style>
  <w:style w:type="paragraph" w:customStyle="1" w:styleId="TableHeading">
    <w:name w:val="Table Heading"/>
    <w:basedOn w:val="HeadingBase"/>
    <w:rsid w:val="00875523"/>
    <w:pPr>
      <w:keepLines/>
      <w:pBdr>
        <w:bottom w:val="single" w:sz="6" w:space="1" w:color="918585"/>
      </w:pBdr>
      <w:spacing w:before="240"/>
    </w:pPr>
  </w:style>
  <w:style w:type="character" w:customStyle="1" w:styleId="HotSpot">
    <w:name w:val="HotSpot"/>
    <w:rsid w:val="00875523"/>
    <w:rPr>
      <w:color w:val="0033CC"/>
      <w:u w:val="none"/>
    </w:rPr>
  </w:style>
  <w:style w:type="paragraph" w:customStyle="1" w:styleId="BodyTextRight">
    <w:name w:val="Body Text Right"/>
    <w:basedOn w:val="BodyText"/>
    <w:rsid w:val="00875523"/>
    <w:pPr>
      <w:spacing w:before="0" w:after="0"/>
      <w:jc w:val="right"/>
    </w:pPr>
  </w:style>
  <w:style w:type="paragraph" w:styleId="Index3">
    <w:name w:val="index 3"/>
    <w:basedOn w:val="ListNumber2"/>
    <w:next w:val="Normal"/>
    <w:semiHidden/>
    <w:rsid w:val="00875523"/>
    <w:pPr>
      <w:numPr>
        <w:numId w:val="0"/>
      </w:numPr>
      <w:tabs>
        <w:tab w:val="right" w:leader="dot" w:pos="4176"/>
      </w:tabs>
    </w:pPr>
  </w:style>
  <w:style w:type="paragraph" w:styleId="ListNumber2">
    <w:name w:val="List Number 2"/>
    <w:basedOn w:val="List2"/>
    <w:rsid w:val="00875523"/>
    <w:pPr>
      <w:numPr>
        <w:numId w:val="8"/>
      </w:numPr>
      <w:tabs>
        <w:tab w:val="clear" w:pos="1060"/>
      </w:tabs>
    </w:pPr>
  </w:style>
  <w:style w:type="paragraph" w:customStyle="1" w:styleId="MarginNote">
    <w:name w:val="Margin Note"/>
    <w:basedOn w:val="BodyText"/>
    <w:rsid w:val="008755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55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55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5523"/>
    <w:rPr>
      <w:sz w:val="32"/>
    </w:rPr>
  </w:style>
  <w:style w:type="paragraph" w:customStyle="1" w:styleId="HeadingProcedure">
    <w:name w:val="Heading Procedure"/>
    <w:basedOn w:val="HeadingBase"/>
    <w:next w:val="Normal"/>
    <w:rsid w:val="00875523"/>
    <w:pPr>
      <w:tabs>
        <w:tab w:val="left" w:pos="0"/>
      </w:tabs>
      <w:spacing w:before="120" w:after="60"/>
    </w:pPr>
    <w:rPr>
      <w:i/>
      <w:color w:val="918585"/>
      <w:sz w:val="22"/>
    </w:rPr>
  </w:style>
  <w:style w:type="paragraph" w:customStyle="1" w:styleId="TableBodyText">
    <w:name w:val="Table Body Text"/>
    <w:basedOn w:val="BodyText"/>
    <w:rsid w:val="00875523"/>
    <w:pPr>
      <w:spacing w:before="60" w:after="60"/>
    </w:pPr>
  </w:style>
  <w:style w:type="paragraph" w:styleId="ListContinue">
    <w:name w:val="List Continue"/>
    <w:basedOn w:val="List"/>
    <w:rsid w:val="00875523"/>
    <w:pPr>
      <w:ind w:firstLine="0"/>
    </w:pPr>
  </w:style>
  <w:style w:type="paragraph" w:customStyle="1" w:styleId="ListNote">
    <w:name w:val="List Note"/>
    <w:basedOn w:val="List"/>
    <w:rsid w:val="00875523"/>
    <w:pPr>
      <w:pBdr>
        <w:top w:val="single" w:sz="6" w:space="2" w:color="918585"/>
        <w:bottom w:val="single" w:sz="6" w:space="2" w:color="918585"/>
      </w:pBdr>
      <w:tabs>
        <w:tab w:val="left" w:pos="1021"/>
      </w:tabs>
      <w:ind w:firstLine="0"/>
    </w:pPr>
  </w:style>
  <w:style w:type="paragraph" w:customStyle="1" w:styleId="Warning">
    <w:name w:val="Warning"/>
    <w:basedOn w:val="BodyText"/>
    <w:rsid w:val="00875523"/>
    <w:pPr>
      <w:shd w:val="clear" w:color="auto" w:fill="D9D9D9"/>
      <w:tabs>
        <w:tab w:val="left" w:pos="992"/>
      </w:tabs>
      <w:ind w:left="119" w:right="119"/>
    </w:pPr>
    <w:rPr>
      <w:sz w:val="20"/>
    </w:rPr>
  </w:style>
  <w:style w:type="paragraph" w:customStyle="1" w:styleId="MarginIcons">
    <w:name w:val="Margin Icons"/>
    <w:basedOn w:val="BodyText"/>
    <w:rsid w:val="008755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5523"/>
    <w:rPr>
      <w:rFonts w:ascii="Courier New" w:hAnsi="Courier New"/>
    </w:rPr>
  </w:style>
  <w:style w:type="paragraph" w:customStyle="1" w:styleId="NoteBullet">
    <w:name w:val="Note Bullet"/>
    <w:basedOn w:val="Note"/>
    <w:rsid w:val="00875523"/>
    <w:pPr>
      <w:tabs>
        <w:tab w:val="clear" w:pos="680"/>
      </w:tabs>
      <w:spacing w:before="60" w:after="60"/>
    </w:pPr>
  </w:style>
  <w:style w:type="paragraph" w:customStyle="1" w:styleId="SubHeading2">
    <w:name w:val="SubHeading2"/>
    <w:basedOn w:val="HeadingBase"/>
    <w:rsid w:val="00875523"/>
    <w:pPr>
      <w:spacing w:before="240" w:after="60"/>
    </w:pPr>
    <w:rPr>
      <w:sz w:val="20"/>
    </w:rPr>
  </w:style>
  <w:style w:type="paragraph" w:customStyle="1" w:styleId="SubHeading1">
    <w:name w:val="SubHeading1"/>
    <w:basedOn w:val="HeadingBase"/>
    <w:rsid w:val="00875523"/>
    <w:pPr>
      <w:spacing w:before="240" w:after="60"/>
    </w:pPr>
    <w:rPr>
      <w:color w:val="918585"/>
      <w:sz w:val="22"/>
    </w:rPr>
  </w:style>
  <w:style w:type="paragraph" w:customStyle="1" w:styleId="SideHeading">
    <w:name w:val="Side Heading"/>
    <w:basedOn w:val="HeadingBase"/>
    <w:rsid w:val="008755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5523"/>
    <w:pPr>
      <w:numPr>
        <w:numId w:val="9"/>
      </w:numPr>
    </w:pPr>
  </w:style>
  <w:style w:type="paragraph" w:styleId="PlainText">
    <w:name w:val="Plain Text"/>
    <w:basedOn w:val="Normal"/>
    <w:link w:val="PlainTextChar"/>
    <w:rsid w:val="00875523"/>
    <w:rPr>
      <w:sz w:val="20"/>
    </w:rPr>
  </w:style>
  <w:style w:type="character" w:customStyle="1" w:styleId="PlainTextChar">
    <w:name w:val="Plain Text Char"/>
    <w:basedOn w:val="DefaultParagraphFont"/>
    <w:link w:val="PlainText"/>
    <w:rsid w:val="00875523"/>
    <w:rPr>
      <w:rFonts w:ascii="Courier New" w:eastAsia="Times New Roman" w:hAnsi="Courier New" w:cs="Times New Roman"/>
      <w:sz w:val="20"/>
      <w:szCs w:val="20"/>
      <w:lang w:eastAsia="en-US"/>
    </w:rPr>
  </w:style>
  <w:style w:type="character" w:customStyle="1" w:styleId="MenuOption">
    <w:name w:val="Menu Option"/>
    <w:basedOn w:val="DefaultParagraphFont"/>
    <w:rsid w:val="00875523"/>
    <w:rPr>
      <w:b/>
      <w:smallCaps/>
    </w:rPr>
  </w:style>
  <w:style w:type="paragraph" w:customStyle="1" w:styleId="TableListNumber">
    <w:name w:val="Table List Number"/>
    <w:basedOn w:val="ListNumber"/>
    <w:rsid w:val="00875523"/>
    <w:pPr>
      <w:numPr>
        <w:numId w:val="0"/>
      </w:numPr>
    </w:pPr>
  </w:style>
  <w:style w:type="paragraph" w:styleId="TOC4">
    <w:name w:val="toc 4"/>
    <w:basedOn w:val="TOCBase"/>
    <w:next w:val="Normal"/>
    <w:semiHidden/>
    <w:rsid w:val="00875523"/>
    <w:pPr>
      <w:tabs>
        <w:tab w:val="right" w:leader="dot" w:pos="9071"/>
      </w:tabs>
      <w:ind w:left="1701"/>
    </w:pPr>
  </w:style>
  <w:style w:type="paragraph" w:customStyle="1" w:styleId="ListAlpha">
    <w:name w:val="List Alpha"/>
    <w:basedOn w:val="List"/>
    <w:rsid w:val="00875523"/>
    <w:pPr>
      <w:numPr>
        <w:numId w:val="7"/>
      </w:numPr>
    </w:pPr>
  </w:style>
  <w:style w:type="paragraph" w:customStyle="1" w:styleId="ListAlpha2">
    <w:name w:val="List Alpha 2"/>
    <w:basedOn w:val="List2"/>
    <w:rsid w:val="00875523"/>
    <w:pPr>
      <w:numPr>
        <w:numId w:val="6"/>
      </w:numPr>
    </w:pPr>
  </w:style>
  <w:style w:type="paragraph" w:styleId="List2">
    <w:name w:val="List 2"/>
    <w:basedOn w:val="BodyText"/>
    <w:rsid w:val="00875523"/>
    <w:pPr>
      <w:tabs>
        <w:tab w:val="left" w:pos="680"/>
      </w:tabs>
      <w:spacing w:before="60" w:after="60"/>
      <w:ind w:left="680" w:hanging="340"/>
    </w:pPr>
  </w:style>
  <w:style w:type="paragraph" w:styleId="List3">
    <w:name w:val="List 3"/>
    <w:basedOn w:val="BodyText"/>
    <w:rsid w:val="00875523"/>
    <w:pPr>
      <w:tabs>
        <w:tab w:val="left" w:pos="1021"/>
      </w:tabs>
      <w:spacing w:before="60" w:after="60"/>
      <w:ind w:left="1020" w:hanging="340"/>
    </w:pPr>
  </w:style>
  <w:style w:type="paragraph" w:styleId="List4">
    <w:name w:val="List 4"/>
    <w:basedOn w:val="BodyText"/>
    <w:rsid w:val="00875523"/>
    <w:pPr>
      <w:tabs>
        <w:tab w:val="left" w:pos="1361"/>
      </w:tabs>
      <w:spacing w:before="60" w:after="60"/>
      <w:ind w:left="1361" w:hanging="340"/>
    </w:pPr>
  </w:style>
  <w:style w:type="paragraph" w:styleId="List5">
    <w:name w:val="List 5"/>
    <w:basedOn w:val="BodyText"/>
    <w:rsid w:val="00875523"/>
    <w:pPr>
      <w:tabs>
        <w:tab w:val="left" w:pos="1701"/>
      </w:tabs>
      <w:spacing w:before="60" w:after="60"/>
      <w:ind w:left="1701" w:hanging="340"/>
    </w:pPr>
  </w:style>
  <w:style w:type="paragraph" w:styleId="ListBullet3">
    <w:name w:val="List Bullet 3"/>
    <w:basedOn w:val="List3"/>
    <w:rsid w:val="00875523"/>
    <w:pPr>
      <w:numPr>
        <w:numId w:val="12"/>
      </w:numPr>
      <w:tabs>
        <w:tab w:val="clear" w:pos="1021"/>
      </w:tabs>
      <w:ind w:left="1037" w:hanging="357"/>
    </w:pPr>
  </w:style>
  <w:style w:type="paragraph" w:styleId="ListBullet4">
    <w:name w:val="List Bullet 4"/>
    <w:basedOn w:val="List4"/>
    <w:rsid w:val="00875523"/>
    <w:pPr>
      <w:numPr>
        <w:numId w:val="1"/>
      </w:numPr>
      <w:tabs>
        <w:tab w:val="clear" w:pos="1361"/>
      </w:tabs>
    </w:pPr>
  </w:style>
  <w:style w:type="paragraph" w:styleId="ListBullet5">
    <w:name w:val="List Bullet 5"/>
    <w:basedOn w:val="List5"/>
    <w:rsid w:val="00875523"/>
    <w:pPr>
      <w:numPr>
        <w:numId w:val="2"/>
      </w:numPr>
    </w:pPr>
  </w:style>
  <w:style w:type="paragraph" w:styleId="ListContinue2">
    <w:name w:val="List Continue 2"/>
    <w:basedOn w:val="List2"/>
    <w:rsid w:val="00875523"/>
    <w:pPr>
      <w:ind w:firstLine="0"/>
    </w:pPr>
  </w:style>
  <w:style w:type="paragraph" w:styleId="ListContinue3">
    <w:name w:val="List Continue 3"/>
    <w:basedOn w:val="List3"/>
    <w:rsid w:val="00875523"/>
    <w:pPr>
      <w:ind w:left="1021" w:firstLine="0"/>
    </w:pPr>
  </w:style>
  <w:style w:type="paragraph" w:styleId="ListContinue4">
    <w:name w:val="List Continue 4"/>
    <w:basedOn w:val="List4"/>
    <w:rsid w:val="00875523"/>
    <w:pPr>
      <w:ind w:firstLine="0"/>
    </w:pPr>
  </w:style>
  <w:style w:type="paragraph" w:styleId="ListContinue5">
    <w:name w:val="List Continue 5"/>
    <w:basedOn w:val="List5"/>
    <w:rsid w:val="00875523"/>
    <w:pPr>
      <w:ind w:firstLine="0"/>
    </w:pPr>
  </w:style>
  <w:style w:type="paragraph" w:styleId="ListNumber3">
    <w:name w:val="List Number 3"/>
    <w:basedOn w:val="List3"/>
    <w:rsid w:val="00875523"/>
    <w:pPr>
      <w:numPr>
        <w:numId w:val="3"/>
      </w:numPr>
    </w:pPr>
  </w:style>
  <w:style w:type="paragraph" w:styleId="ListNumber4">
    <w:name w:val="List Number 4"/>
    <w:basedOn w:val="List4"/>
    <w:rsid w:val="00875523"/>
    <w:pPr>
      <w:numPr>
        <w:numId w:val="4"/>
      </w:numPr>
    </w:pPr>
  </w:style>
  <w:style w:type="paragraph" w:styleId="ListNumber5">
    <w:name w:val="List Number 5"/>
    <w:basedOn w:val="List5"/>
    <w:rsid w:val="00875523"/>
    <w:pPr>
      <w:numPr>
        <w:numId w:val="5"/>
      </w:numPr>
    </w:pPr>
  </w:style>
  <w:style w:type="paragraph" w:styleId="BlockText">
    <w:name w:val="Block Text"/>
    <w:basedOn w:val="Normal"/>
    <w:rsid w:val="00875523"/>
    <w:pPr>
      <w:spacing w:after="120"/>
      <w:ind w:left="1440" w:right="1440"/>
    </w:pPr>
  </w:style>
  <w:style w:type="character" w:customStyle="1" w:styleId="Subscript">
    <w:name w:val="Subscript"/>
    <w:basedOn w:val="DefaultParagraphFont"/>
    <w:rsid w:val="00875523"/>
    <w:rPr>
      <w:sz w:val="16"/>
      <w:vertAlign w:val="subscript"/>
    </w:rPr>
  </w:style>
  <w:style w:type="character" w:customStyle="1" w:styleId="Superscript">
    <w:name w:val="Superscript"/>
    <w:basedOn w:val="DefaultParagraphFont"/>
    <w:rsid w:val="00875523"/>
    <w:rPr>
      <w:sz w:val="16"/>
      <w:vertAlign w:val="superscript"/>
    </w:rPr>
  </w:style>
  <w:style w:type="character" w:customStyle="1" w:styleId="Symbols">
    <w:name w:val="Symbols"/>
    <w:basedOn w:val="DefaultParagraphFont"/>
    <w:rsid w:val="00875523"/>
    <w:rPr>
      <w:rFonts w:ascii="Symbol" w:hAnsi="Symbol"/>
    </w:rPr>
  </w:style>
  <w:style w:type="character" w:customStyle="1" w:styleId="MenuOptions">
    <w:name w:val="Menu Options"/>
    <w:basedOn w:val="DefaultParagraphFont"/>
    <w:rsid w:val="00875523"/>
    <w:rPr>
      <w:rFonts w:ascii="Arial Narrow" w:hAnsi="Arial Narrow"/>
      <w:smallCaps/>
    </w:rPr>
  </w:style>
  <w:style w:type="character" w:customStyle="1" w:styleId="Buttons">
    <w:name w:val="Buttons"/>
    <w:basedOn w:val="DefaultParagraphFont"/>
    <w:rsid w:val="00875523"/>
    <w:rPr>
      <w:b/>
    </w:rPr>
  </w:style>
  <w:style w:type="character" w:customStyle="1" w:styleId="Underlined">
    <w:name w:val="Underlined"/>
    <w:basedOn w:val="DefaultParagraphFont"/>
    <w:rsid w:val="00875523"/>
    <w:rPr>
      <w:u w:val="single"/>
    </w:rPr>
  </w:style>
  <w:style w:type="paragraph" w:customStyle="1" w:styleId="TableBodyTextRight">
    <w:name w:val="Table Body Text Right"/>
    <w:basedOn w:val="TableBodyText"/>
    <w:rsid w:val="00875523"/>
    <w:pPr>
      <w:widowControl w:val="0"/>
      <w:autoSpaceDE w:val="0"/>
      <w:autoSpaceDN w:val="0"/>
      <w:adjustRightInd w:val="0"/>
      <w:jc w:val="right"/>
    </w:pPr>
    <w:rPr>
      <w:rFonts w:cs="Arial"/>
      <w:szCs w:val="18"/>
    </w:rPr>
  </w:style>
  <w:style w:type="paragraph" w:customStyle="1" w:styleId="CopyrightText">
    <w:name w:val="Copyright Text"/>
    <w:basedOn w:val="BodyText"/>
    <w:rsid w:val="00875523"/>
    <w:rPr>
      <w:sz w:val="18"/>
    </w:rPr>
  </w:style>
  <w:style w:type="paragraph" w:customStyle="1" w:styleId="BodySmallRight">
    <w:name w:val="Body Small Right"/>
    <w:basedOn w:val="BodyTextRight"/>
    <w:rsid w:val="00875523"/>
    <w:rPr>
      <w:sz w:val="18"/>
      <w:szCs w:val="18"/>
    </w:rPr>
  </w:style>
  <w:style w:type="paragraph" w:customStyle="1" w:styleId="MarginEdition">
    <w:name w:val="Margin Edition"/>
    <w:basedOn w:val="MarginNote"/>
    <w:rsid w:val="00875523"/>
    <w:pPr>
      <w:spacing w:before="0" w:after="0"/>
    </w:pPr>
    <w:rPr>
      <w:rFonts w:ascii="Times New Roman" w:hAnsi="Times New Roman"/>
      <w:color w:val="999999"/>
    </w:rPr>
  </w:style>
  <w:style w:type="paragraph" w:customStyle="1" w:styleId="Spacer">
    <w:name w:val="Spacer"/>
    <w:basedOn w:val="Normal"/>
    <w:rsid w:val="00875523"/>
    <w:rPr>
      <w:sz w:val="2"/>
      <w:szCs w:val="2"/>
    </w:rPr>
  </w:style>
  <w:style w:type="character" w:customStyle="1" w:styleId="Small">
    <w:name w:val="Small"/>
    <w:basedOn w:val="DefaultParagraphFont"/>
    <w:rsid w:val="00875523"/>
    <w:rPr>
      <w:sz w:val="16"/>
    </w:rPr>
  </w:style>
  <w:style w:type="paragraph" w:customStyle="1" w:styleId="WideTable">
    <w:name w:val="Wide Table"/>
    <w:basedOn w:val="Normal"/>
    <w:rsid w:val="00875523"/>
    <w:pPr>
      <w:ind w:left="-1418"/>
    </w:pPr>
    <w:rPr>
      <w:sz w:val="2"/>
      <w:szCs w:val="2"/>
    </w:rPr>
  </w:style>
  <w:style w:type="character" w:styleId="PageNumber">
    <w:name w:val="page number"/>
    <w:basedOn w:val="DefaultParagraphFont"/>
    <w:rsid w:val="00875523"/>
  </w:style>
  <w:style w:type="paragraph" w:styleId="Quote">
    <w:name w:val="Quote"/>
    <w:basedOn w:val="Heading1"/>
    <w:link w:val="QuoteChar"/>
    <w:qFormat/>
    <w:rsid w:val="00875523"/>
    <w:rPr>
      <w:b w:val="0"/>
      <w:sz w:val="72"/>
      <w:szCs w:val="72"/>
      <w:lang w:val="en-NZ"/>
    </w:rPr>
  </w:style>
  <w:style w:type="character" w:customStyle="1" w:styleId="QuoteChar">
    <w:name w:val="Quote Char"/>
    <w:basedOn w:val="DefaultParagraphFont"/>
    <w:link w:val="Quote"/>
    <w:rsid w:val="008755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5523"/>
    <w:pPr>
      <w:pageBreakBefore/>
    </w:pPr>
  </w:style>
  <w:style w:type="paragraph" w:customStyle="1" w:styleId="Border">
    <w:name w:val="Border"/>
    <w:basedOn w:val="Normal"/>
    <w:qFormat/>
    <w:rsid w:val="008755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5523"/>
    <w:rPr>
      <w:b/>
      <w:bCs/>
      <w:i/>
      <w:iCs/>
      <w:color w:val="auto"/>
    </w:rPr>
  </w:style>
  <w:style w:type="paragraph" w:styleId="IntenseQuote">
    <w:name w:val="Intense Quote"/>
    <w:basedOn w:val="Normal"/>
    <w:next w:val="Normal"/>
    <w:link w:val="IntenseQuoteChar"/>
    <w:uiPriority w:val="30"/>
    <w:qFormat/>
    <w:rsid w:val="008755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55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5523"/>
    <w:rPr>
      <w:smallCaps/>
      <w:color w:val="auto"/>
      <w:u w:val="single"/>
    </w:rPr>
  </w:style>
  <w:style w:type="character" w:styleId="IntenseReference">
    <w:name w:val="Intense Reference"/>
    <w:basedOn w:val="DefaultParagraphFont"/>
    <w:uiPriority w:val="32"/>
    <w:qFormat/>
    <w:rsid w:val="00875523"/>
    <w:rPr>
      <w:b/>
      <w:bCs/>
      <w:smallCaps/>
      <w:color w:val="auto"/>
      <w:spacing w:val="5"/>
      <w:u w:val="single"/>
    </w:rPr>
  </w:style>
  <w:style w:type="paragraph" w:customStyle="1" w:styleId="2ColumnHeading">
    <w:name w:val="2Column Heading"/>
    <w:basedOn w:val="BodyText"/>
    <w:qFormat/>
    <w:rsid w:val="00875523"/>
    <w:pPr>
      <w:spacing w:after="60"/>
      <w:ind w:left="-2268"/>
    </w:pPr>
    <w:rPr>
      <w:b/>
    </w:rPr>
  </w:style>
  <w:style w:type="paragraph" w:customStyle="1" w:styleId="Heading1TOC">
    <w:name w:val="Heading1 TOC"/>
    <w:basedOn w:val="Normal"/>
    <w:qFormat/>
    <w:rsid w:val="00875523"/>
    <w:pPr>
      <w:spacing w:before="240" w:after="120"/>
    </w:pPr>
    <w:rPr>
      <w:rFonts w:ascii="Times New Roman" w:hAnsi="Times New Roman"/>
      <w:b/>
      <w:sz w:val="32"/>
    </w:rPr>
  </w:style>
  <w:style w:type="paragraph" w:customStyle="1" w:styleId="Heading2TOC">
    <w:name w:val="Heading2 TOC"/>
    <w:basedOn w:val="Normal"/>
    <w:qFormat/>
    <w:rsid w:val="00875523"/>
    <w:pPr>
      <w:spacing w:before="240" w:after="60"/>
    </w:pPr>
    <w:rPr>
      <w:rFonts w:ascii="Times New Roman" w:hAnsi="Times New Roman"/>
      <w:b/>
      <w:sz w:val="28"/>
    </w:rPr>
  </w:style>
  <w:style w:type="character" w:customStyle="1" w:styleId="Underline">
    <w:name w:val="Underline"/>
    <w:basedOn w:val="DefaultParagraphFont"/>
    <w:qFormat/>
    <w:rsid w:val="00875523"/>
    <w:rPr>
      <w:u w:val="single"/>
    </w:rPr>
  </w:style>
  <w:style w:type="character" w:customStyle="1" w:styleId="BoldandItalics">
    <w:name w:val="Bold and Italics"/>
    <w:qFormat/>
    <w:rsid w:val="00875523"/>
    <w:rPr>
      <w:b/>
      <w:i/>
      <w:u w:val="none"/>
    </w:rPr>
  </w:style>
  <w:style w:type="paragraph" w:styleId="BalloonText">
    <w:name w:val="Balloon Text"/>
    <w:basedOn w:val="Normal"/>
    <w:link w:val="BalloonTextChar"/>
    <w:rsid w:val="00875523"/>
    <w:rPr>
      <w:rFonts w:ascii="Tahoma" w:hAnsi="Tahoma" w:cs="Tahoma"/>
      <w:sz w:val="16"/>
      <w:szCs w:val="16"/>
    </w:rPr>
  </w:style>
  <w:style w:type="character" w:customStyle="1" w:styleId="BalloonTextChar">
    <w:name w:val="Balloon Text Char"/>
    <w:basedOn w:val="DefaultParagraphFont"/>
    <w:link w:val="BalloonText"/>
    <w:rsid w:val="008755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55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55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5523"/>
    <w:rPr>
      <w:b/>
      <w:color w:val="660033"/>
      <w:spacing w:val="0"/>
    </w:rPr>
  </w:style>
  <w:style w:type="paragraph" w:customStyle="1" w:styleId="Nameditemlist">
    <w:name w:val="Named item list"/>
    <w:basedOn w:val="BodyText"/>
    <w:qFormat/>
    <w:rsid w:val="00875523"/>
    <w:pPr>
      <w:tabs>
        <w:tab w:val="left" w:pos="2835"/>
      </w:tabs>
      <w:ind w:left="2835" w:hanging="2835"/>
    </w:pPr>
  </w:style>
  <w:style w:type="paragraph" w:customStyle="1" w:styleId="BodyTextnopadding">
    <w:name w:val="Body Text no padding"/>
    <w:basedOn w:val="BodyText"/>
    <w:qFormat/>
    <w:rsid w:val="00875523"/>
    <w:pPr>
      <w:spacing w:before="0" w:after="0"/>
    </w:pPr>
  </w:style>
  <w:style w:type="paragraph" w:customStyle="1" w:styleId="BodyTextBold">
    <w:name w:val="Body Text Bold"/>
    <w:basedOn w:val="BodyText"/>
    <w:qFormat/>
    <w:rsid w:val="00875523"/>
    <w:rPr>
      <w:b/>
    </w:rPr>
  </w:style>
  <w:style w:type="character" w:styleId="Hyperlink">
    <w:name w:val="Hyperlink"/>
    <w:basedOn w:val="DefaultParagraphFont"/>
    <w:uiPriority w:val="99"/>
    <w:unhideWhenUsed/>
    <w:rsid w:val="003D4A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544</Words>
  <Characters>3291</Characters>
  <Application>Microsoft Office Word</Application>
  <DocSecurity>0</DocSecurity>
  <Lines>143</Lines>
  <Paragraphs>68</Paragraphs>
  <ScaleCrop>false</ScaleCrop>
  <Company>Author-it Software Corporation Ltd.</Company>
  <LinksUpToDate>false</LinksUpToDate>
  <CharactersWithSpaces>3767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CPPFES2043 Apply regulations to prevent ozone depleting substance and synthetic greenhouse gas emissions</dc:title>
  <dc:subject>Approved</dc:subject>
  <dc:creator>BuildSkills Australia</dc:creator>
  <cp:keywords>Release: 1</cp:keywords>
  <dc:description>Review Date: 12 April 2008</dc:description>
  <cp:lastModifiedBy>HSD_TPCMSd.prod</cp:lastModifiedBy>
  <cp:revision>3</cp:revision>
  <dcterms:created xsi:type="dcterms:W3CDTF">2024-11-29T01:05:00Z</dcterms:created>
  <dcterms:modified xsi:type="dcterms:W3CDTF">2024-11-29T01:05:00Z</dcterms:modified>
</cp:coreProperties>
</file>