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1C2" w:rsidP="00B76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CPPFES2043 Apply regulations to prevent ozone depleting substance and synthetic greenhouse gas emissions</w:t>
      </w:r>
      <w:r>
        <w:fldChar w:fldCharType="end"/>
      </w:r>
    </w:p>
    <w:p w:rsidR="00B761C2" w:rsidP="00B761C2">
      <w:pPr>
        <w:pStyle w:val="Version"/>
        <w:sectPr w:rsidSect="00302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AC7" w:rsidP="00302AC7">
      <w:pPr>
        <w:pStyle w:val="SuperHeading"/>
      </w:pPr>
      <w:r w:rsidRPr="00302AC7">
        <w:t>Assessment Requirements for CPPFES2043 Apply regulations to prevent ozone depleting substance and synthetic greenhouse gas emissions</w:t>
      </w:r>
    </w:p>
    <w:p w:rsidR="00000000" w:rsidRPr="00302AC7" w:rsidP="00302AC7">
      <w:pPr>
        <w:pStyle w:val="Heading1"/>
      </w:pPr>
      <w:bookmarkStart w:id="1" w:name="O_1163587"/>
      <w:bookmarkEnd w:id="1"/>
      <w:r w:rsidRPr="00302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302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AC7">
            <w:pPr>
              <w:pStyle w:val="BodyText"/>
              <w:rPr>
                <w:lang w:val="en-NZ"/>
              </w:rPr>
            </w:pPr>
            <w:r w:rsidRPr="00302AC7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AC7" w:rsidP="00302AC7">
            <w:pPr>
              <w:pStyle w:val="BodyText"/>
            </w:pPr>
            <w:r w:rsidRPr="00302AC7">
              <w:t>This version first released with CPP Property Services Training Package Release 13.0.</w:t>
            </w:r>
          </w:p>
          <w:p w:rsidR="00000000" w:rsidRPr="00302AC7" w:rsidP="00302AC7">
            <w:pPr>
              <w:pStyle w:val="BodyText"/>
            </w:pPr>
            <w:r w:rsidRPr="00302AC7">
              <w:t>Supersedes and is equivalent to CPPFES2043A Prevent ozone depleting substance and synthetic greenhouse gas emissions.  Unit updated to meet the Standards for Training Pac</w:t>
            </w:r>
            <w:r w:rsidRPr="00302AC7">
              <w:t>kages 2012. Minor title change.</w:t>
            </w:r>
          </w:p>
        </w:tc>
      </w:tr>
    </w:tbl>
    <w:p w:rsidR="00000000" w:rsidRPr="00302AC7" w:rsidP="00302AC7">
      <w:pPr>
        <w:pStyle w:val="BodyText"/>
      </w:pPr>
    </w:p>
    <w:p w:rsidR="00000000" w:rsidRPr="00302AC7" w:rsidP="00302AC7">
      <w:pPr>
        <w:pStyle w:val="AllowPageBreak"/>
      </w:pPr>
    </w:p>
    <w:p w:rsidR="00000000" w:rsidRPr="00302AC7" w:rsidP="00302AC7">
      <w:pPr>
        <w:pStyle w:val="Heading1"/>
      </w:pPr>
      <w:bookmarkStart w:id="2" w:name="O_1163590"/>
      <w:bookmarkEnd w:id="2"/>
      <w:r w:rsidRPr="00302AC7">
        <w:t>Performance Evidence</w:t>
      </w:r>
    </w:p>
    <w:p w:rsidR="00000000" w:rsidRPr="00302AC7" w:rsidP="00B761C2">
      <w:pPr>
        <w:pStyle w:val="BodyText"/>
      </w:pPr>
      <w:r w:rsidRPr="00302AC7">
        <w:t>To demonstrate competency, a candidate must meet the elements and performance criteria of this unit by applying regulations to prevent ozone depleting substance (ODS) and synthetic g</w:t>
      </w:r>
      <w:r w:rsidRPr="00302AC7">
        <w:t>reenhouse gases (SGG) emissions, including:</w:t>
      </w:r>
    </w:p>
    <w:p w:rsidR="00000000" w:rsidRPr="00302AC7" w:rsidP="00302AC7">
      <w:pPr>
        <w:pStyle w:val="ListBullet"/>
      </w:pPr>
      <w:r w:rsidRPr="00302AC7">
        <w:t>reviewing two different sets of work instructions associated with ODS and SGG agent extinguishers or systems, or both, and documenting requirements for the extinguishing agent handling licence (EAHL) holder unde</w:t>
      </w:r>
      <w:r w:rsidRPr="00302AC7">
        <w:t>rtaking those duties</w:t>
      </w:r>
    </w:p>
    <w:p w:rsidR="00000000" w:rsidRPr="00302AC7" w:rsidP="00302AC7">
      <w:pPr>
        <w:pStyle w:val="ListBullet"/>
      </w:pPr>
      <w:r w:rsidRPr="00302AC7">
        <w:t>proposing two improvements to ODS and SGG work practices to reduce the risk of accidental emissions.</w:t>
      </w:r>
    </w:p>
    <w:p w:rsidR="00000000" w:rsidRPr="00302AC7" w:rsidP="00302AC7">
      <w:pPr>
        <w:pStyle w:val="AllowPageBreak"/>
      </w:pPr>
    </w:p>
    <w:p w:rsidR="00000000" w:rsidRPr="00302AC7" w:rsidP="00302AC7">
      <w:pPr>
        <w:pStyle w:val="Heading1"/>
      </w:pPr>
      <w:bookmarkStart w:id="3" w:name="O_1163589"/>
      <w:bookmarkEnd w:id="3"/>
      <w:r w:rsidRPr="00302AC7">
        <w:t>Knowledge Evidence</w:t>
      </w:r>
    </w:p>
    <w:p w:rsidR="00000000" w:rsidRPr="00302AC7" w:rsidP="00B761C2">
      <w:pPr>
        <w:pStyle w:val="BodyText"/>
      </w:pPr>
      <w:r w:rsidRPr="00302AC7">
        <w:t>To be competent in this unit, a candidate must demonstrate knowledge of:</w:t>
      </w:r>
    </w:p>
    <w:p w:rsidR="00000000" w:rsidRPr="00302AC7" w:rsidP="00302AC7">
      <w:pPr>
        <w:pStyle w:val="ListBullet"/>
      </w:pPr>
      <w:r w:rsidRPr="00302AC7">
        <w:t>actions to take when p</w:t>
      </w:r>
      <w:r w:rsidRPr="00302AC7">
        <w:t>otential and actual breaches of regulations, work health and safety (WHS) or other policy are identified when applying regulations to prevent ODS and SGG emissions</w:t>
      </w:r>
    </w:p>
    <w:p w:rsidR="00000000" w:rsidRPr="00302AC7" w:rsidP="00302AC7">
      <w:pPr>
        <w:pStyle w:val="ListBullet"/>
      </w:pPr>
      <w:r w:rsidRPr="00302AC7">
        <w:t>compliance requirements of relevant regulations, licensing, agreements, protocols, fire protection industry codes of practice and Australian Standards associated with the use of ODS and SGG extinguishing agents:</w:t>
      </w:r>
    </w:p>
    <w:p w:rsidR="00000000" w:rsidRPr="00302AC7" w:rsidP="00302AC7">
      <w:pPr>
        <w:pStyle w:val="ListBullet2"/>
      </w:pPr>
      <w:r w:rsidRPr="00302AC7">
        <w:t>environmental protection</w:t>
      </w:r>
    </w:p>
    <w:p w:rsidR="00000000" w:rsidRPr="00302AC7" w:rsidP="00302AC7">
      <w:pPr>
        <w:pStyle w:val="ListBullet2"/>
      </w:pPr>
      <w:r w:rsidRPr="00302AC7">
        <w:t>EAHL types, associ</w:t>
      </w:r>
      <w:r w:rsidRPr="00302AC7">
        <w:t>ated responsibilities, usage permits and trading authorisations</w:t>
      </w:r>
    </w:p>
    <w:p w:rsidR="00000000" w:rsidRPr="00302AC7" w:rsidP="00302AC7">
      <w:pPr>
        <w:pStyle w:val="ListBullet2"/>
      </w:pPr>
      <w:r w:rsidRPr="00302AC7">
        <w:t>ODS and SGG legal requirements for handling and trading in extinguishing agents in the fire protection industry</w:t>
      </w:r>
    </w:p>
    <w:p w:rsidR="00000000" w:rsidRPr="00302AC7" w:rsidP="00302AC7">
      <w:pPr>
        <w:pStyle w:val="ListBullet"/>
      </w:pPr>
      <w:r w:rsidRPr="00302AC7">
        <w:t>effects of:</w:t>
      </w:r>
    </w:p>
    <w:p w:rsidR="00000000" w:rsidRPr="00302AC7" w:rsidP="00302AC7">
      <w:pPr>
        <w:pStyle w:val="ListBullet2"/>
      </w:pPr>
      <w:r w:rsidRPr="00302AC7">
        <w:t>ODS and SGG emissions on ozone layer depletion and climate change</w:t>
      </w:r>
    </w:p>
    <w:p w:rsidR="00000000" w:rsidRPr="00302AC7" w:rsidP="00302AC7">
      <w:pPr>
        <w:pStyle w:val="ListBullet2"/>
      </w:pPr>
      <w:r w:rsidRPr="00302AC7">
        <w:t>ozone layer depletion and climate change on the environment and human health</w:t>
      </w:r>
    </w:p>
    <w:p w:rsidR="00000000" w:rsidRPr="00302AC7" w:rsidP="00302AC7">
      <w:pPr>
        <w:pStyle w:val="ListBullet"/>
      </w:pPr>
      <w:r w:rsidRPr="00302AC7">
        <w:t>implications of not applying ODS and SGG regulations to work practices</w:t>
      </w:r>
    </w:p>
    <w:p w:rsidR="00000000" w:rsidRPr="00302AC7" w:rsidP="00302AC7">
      <w:pPr>
        <w:pStyle w:val="ListBullet"/>
      </w:pPr>
      <w:r w:rsidRPr="00302AC7">
        <w:t>key factors involved in climate change</w:t>
      </w:r>
    </w:p>
    <w:p w:rsidR="00000000" w:rsidRPr="00302AC7" w:rsidP="00302AC7">
      <w:pPr>
        <w:pStyle w:val="ListBullet"/>
      </w:pPr>
      <w:r w:rsidRPr="00302AC7">
        <w:t>role and function of the ozone layer</w:t>
      </w:r>
    </w:p>
    <w:p w:rsidR="00000000" w:rsidRPr="00302AC7" w:rsidP="00302AC7">
      <w:pPr>
        <w:pStyle w:val="ListBullet"/>
      </w:pPr>
      <w:r w:rsidRPr="00302AC7">
        <w:t>workplace requirements for prev</w:t>
      </w:r>
      <w:r w:rsidRPr="00302AC7">
        <w:t>enting ODS and SGG emissions:</w:t>
      </w:r>
    </w:p>
    <w:p w:rsidR="00000000" w:rsidRPr="00302AC7" w:rsidP="00302AC7">
      <w:pPr>
        <w:pStyle w:val="ListBullet2"/>
      </w:pPr>
      <w:r w:rsidRPr="00302AC7">
        <w:t>use of ODS and SGG extinguishing agents</w:t>
      </w:r>
    </w:p>
    <w:p w:rsidR="00000000" w:rsidRPr="00302AC7" w:rsidP="00302AC7">
      <w:pPr>
        <w:pStyle w:val="ListBullet2"/>
      </w:pPr>
      <w:r w:rsidRPr="00302AC7">
        <w:t>WHS.</w:t>
      </w:r>
    </w:p>
    <w:p w:rsidR="00000000" w:rsidRPr="00302AC7" w:rsidP="00302AC7">
      <w:pPr>
        <w:pStyle w:val="AllowPageBreak"/>
      </w:pPr>
    </w:p>
    <w:p w:rsidR="00000000" w:rsidRPr="00302AC7" w:rsidP="00302AC7">
      <w:pPr>
        <w:pStyle w:val="Heading1"/>
      </w:pPr>
      <w:bookmarkStart w:id="4" w:name="O_1163588"/>
      <w:bookmarkEnd w:id="4"/>
      <w:r w:rsidRPr="00302AC7">
        <w:t>Assessment Conditions</w:t>
      </w:r>
    </w:p>
    <w:p w:rsidR="00000000" w:rsidRPr="00302AC7" w:rsidP="00B761C2">
      <w:pPr>
        <w:pStyle w:val="BodyText"/>
      </w:pPr>
      <w:r w:rsidRPr="00302AC7">
        <w:t xml:space="preserve">Assessors must meet the requirements for assessors contained in the Standards for Registered Training Organisations. </w:t>
      </w:r>
    </w:p>
    <w:p w:rsidR="00000000" w:rsidRPr="00302AC7" w:rsidP="00B761C2">
      <w:pPr>
        <w:pStyle w:val="BodyText"/>
      </w:pPr>
      <w:r w:rsidRPr="00302AC7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302AC7" w:rsidP="00B761C2">
      <w:pPr>
        <w:pStyle w:val="BodyText"/>
      </w:pPr>
      <w:r w:rsidRPr="00302AC7">
        <w:t xml:space="preserve">Candidates must have access to technologies, work </w:t>
      </w:r>
      <w:r w:rsidRPr="00302AC7">
        <w:t>instructions, documentation and other information required to achieve the performance evidence.</w:t>
      </w:r>
    </w:p>
    <w:p w:rsidR="00000000" w:rsidRPr="00302AC7" w:rsidP="00302AC7">
      <w:pPr>
        <w:pStyle w:val="Heading1"/>
      </w:pPr>
      <w:bookmarkStart w:id="5" w:name="O_1163586"/>
      <w:bookmarkEnd w:id="5"/>
      <w:r w:rsidRPr="00302AC7">
        <w:t>Links</w:t>
      </w:r>
    </w:p>
    <w:p w:rsidR="00000000" w:rsidRPr="00302AC7" w:rsidP="00B761C2">
      <w:pPr>
        <w:pStyle w:val="BodyText"/>
      </w:pPr>
      <w:r w:rsidRPr="00302AC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8320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02AC7" w:rsidP="00302AC7"/>
    <w:sectPr w:rsidSect="00302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7" w:rsidRPr="00B761C2" w:rsidP="00B76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C2" w:rsidP="00302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1C2" w:rsidP="00302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61C2" w:rsidP="00302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AC7" w:rsidRPr="00B761C2" w:rsidP="00B76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1C2" w:rsidRPr="002D2AF8" w:rsidP="00302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CPPFES2043 Apply regulations to prevent ozone depleting substance and synthetic greenhouse gas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761C2" w:rsidP="00302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E2E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6E3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8F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AC7"/>
  </w:style>
  <w:style w:type="character" w:customStyle="1" w:styleId="Heading1Char">
    <w:name w:val="Heading 1 Char"/>
    <w:basedOn w:val="DefaultParagraphFont"/>
    <w:link w:val="Heading1"/>
    <w:rsid w:val="00302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A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2A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AC7"/>
    <w:rPr>
      <w:b/>
      <w:spacing w:val="0"/>
    </w:rPr>
  </w:style>
  <w:style w:type="paragraph" w:customStyle="1" w:styleId="SuperTitle">
    <w:name w:val="SuperTitle"/>
    <w:basedOn w:val="Title"/>
    <w:rsid w:val="00302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AC7"/>
    <w:rPr>
      <w:i/>
    </w:rPr>
  </w:style>
  <w:style w:type="paragraph" w:styleId="Caption">
    <w:name w:val="caption"/>
    <w:basedOn w:val="BodyText"/>
    <w:next w:val="Normal"/>
    <w:qFormat/>
    <w:rsid w:val="00302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AC7"/>
  </w:style>
  <w:style w:type="paragraph" w:styleId="TableofFigures">
    <w:name w:val="table of figures"/>
    <w:basedOn w:val="Normal"/>
    <w:next w:val="Normal"/>
    <w:semiHidden/>
    <w:rsid w:val="00302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A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2AC7"/>
    <w:rPr>
      <w:rFonts w:ascii="Wingdings" w:hAnsi="Wingdings"/>
    </w:rPr>
  </w:style>
  <w:style w:type="paragraph" w:customStyle="1" w:styleId="TableHeading">
    <w:name w:val="Table Heading"/>
    <w:basedOn w:val="HeadingBase"/>
    <w:rsid w:val="00302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AC7"/>
    <w:rPr>
      <w:color w:val="0033CC"/>
      <w:u w:val="none"/>
    </w:rPr>
  </w:style>
  <w:style w:type="paragraph" w:customStyle="1" w:styleId="BodyTextRight">
    <w:name w:val="Body Text Right"/>
    <w:basedOn w:val="BodyText"/>
    <w:rsid w:val="00302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A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AC7"/>
    <w:rPr>
      <w:sz w:val="32"/>
    </w:rPr>
  </w:style>
  <w:style w:type="paragraph" w:customStyle="1" w:styleId="HeadingProcedure">
    <w:name w:val="Heading Procedure"/>
    <w:basedOn w:val="HeadingBase"/>
    <w:next w:val="Normal"/>
    <w:rsid w:val="00302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AC7"/>
    <w:pPr>
      <w:spacing w:before="60" w:after="60"/>
    </w:pPr>
  </w:style>
  <w:style w:type="paragraph" w:styleId="ListContinue">
    <w:name w:val="List Continue"/>
    <w:basedOn w:val="List"/>
    <w:rsid w:val="00302AC7"/>
    <w:pPr>
      <w:ind w:firstLine="0"/>
    </w:pPr>
  </w:style>
  <w:style w:type="paragraph" w:customStyle="1" w:styleId="ListNote">
    <w:name w:val="List Note"/>
    <w:basedOn w:val="List"/>
    <w:rsid w:val="00302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AC7"/>
    <w:rPr>
      <w:rFonts w:ascii="Courier New" w:hAnsi="Courier New"/>
    </w:rPr>
  </w:style>
  <w:style w:type="paragraph" w:customStyle="1" w:styleId="NoteBullet">
    <w:name w:val="Note Bullet"/>
    <w:basedOn w:val="Note"/>
    <w:rsid w:val="00302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AC7"/>
    <w:rPr>
      <w:b/>
      <w:smallCaps/>
    </w:rPr>
  </w:style>
  <w:style w:type="paragraph" w:customStyle="1" w:styleId="TableListNumber">
    <w:name w:val="Table List Number"/>
    <w:basedOn w:val="ListNumber"/>
    <w:rsid w:val="00302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AC7"/>
    <w:pPr>
      <w:numPr>
        <w:numId w:val="9"/>
      </w:numPr>
    </w:pPr>
  </w:style>
  <w:style w:type="paragraph" w:customStyle="1" w:styleId="ListAlpha2">
    <w:name w:val="List Alpha 2"/>
    <w:basedOn w:val="List2"/>
    <w:rsid w:val="00302AC7"/>
    <w:pPr>
      <w:numPr>
        <w:numId w:val="8"/>
      </w:numPr>
    </w:pPr>
  </w:style>
  <w:style w:type="paragraph" w:styleId="List2">
    <w:name w:val="List 2"/>
    <w:basedOn w:val="BodyText"/>
    <w:rsid w:val="00302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A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A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2AC7"/>
    <w:pPr>
      <w:numPr>
        <w:numId w:val="4"/>
      </w:numPr>
    </w:pPr>
  </w:style>
  <w:style w:type="paragraph" w:styleId="ListContinue2">
    <w:name w:val="List Continue 2"/>
    <w:basedOn w:val="List2"/>
    <w:rsid w:val="00302AC7"/>
    <w:pPr>
      <w:ind w:firstLine="0"/>
    </w:pPr>
  </w:style>
  <w:style w:type="paragraph" w:styleId="ListContinue3">
    <w:name w:val="List Continue 3"/>
    <w:basedOn w:val="List3"/>
    <w:rsid w:val="00302AC7"/>
    <w:pPr>
      <w:ind w:left="1021" w:firstLine="0"/>
    </w:pPr>
  </w:style>
  <w:style w:type="paragraph" w:styleId="ListContinue4">
    <w:name w:val="List Continue 4"/>
    <w:basedOn w:val="List4"/>
    <w:rsid w:val="00302AC7"/>
    <w:pPr>
      <w:ind w:firstLine="0"/>
    </w:pPr>
  </w:style>
  <w:style w:type="paragraph" w:styleId="ListContinue5">
    <w:name w:val="List Continue 5"/>
    <w:basedOn w:val="List5"/>
    <w:rsid w:val="00302AC7"/>
    <w:pPr>
      <w:ind w:firstLine="0"/>
    </w:pPr>
  </w:style>
  <w:style w:type="paragraph" w:styleId="ListNumber3">
    <w:name w:val="List Number 3"/>
    <w:basedOn w:val="List3"/>
    <w:rsid w:val="00302AC7"/>
    <w:pPr>
      <w:numPr>
        <w:numId w:val="5"/>
      </w:numPr>
    </w:pPr>
  </w:style>
  <w:style w:type="paragraph" w:styleId="ListNumber4">
    <w:name w:val="List Number 4"/>
    <w:basedOn w:val="List4"/>
    <w:rsid w:val="00302AC7"/>
    <w:pPr>
      <w:numPr>
        <w:numId w:val="6"/>
      </w:numPr>
    </w:pPr>
  </w:style>
  <w:style w:type="paragraph" w:styleId="ListNumber5">
    <w:name w:val="List Number 5"/>
    <w:basedOn w:val="List5"/>
    <w:rsid w:val="00302AC7"/>
    <w:pPr>
      <w:numPr>
        <w:numId w:val="7"/>
      </w:numPr>
    </w:pPr>
  </w:style>
  <w:style w:type="paragraph" w:styleId="BlockText">
    <w:name w:val="Block Text"/>
    <w:basedOn w:val="Normal"/>
    <w:rsid w:val="00302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AC7"/>
    <w:rPr>
      <w:sz w:val="16"/>
      <w:vertAlign w:val="superscript"/>
    </w:rPr>
  </w:style>
  <w:style w:type="character" w:customStyle="1" w:styleId="Symbols">
    <w:name w:val="Symbols"/>
    <w:basedOn w:val="DefaultParagraphFont"/>
    <w:rsid w:val="00302AC7"/>
    <w:rPr>
      <w:rFonts w:ascii="Symbol" w:hAnsi="Symbol"/>
    </w:rPr>
  </w:style>
  <w:style w:type="character" w:customStyle="1" w:styleId="MenuOptions">
    <w:name w:val="Menu Options"/>
    <w:basedOn w:val="DefaultParagraphFont"/>
    <w:rsid w:val="00302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AC7"/>
    <w:rPr>
      <w:b/>
    </w:rPr>
  </w:style>
  <w:style w:type="character" w:customStyle="1" w:styleId="Underlined">
    <w:name w:val="Underlined"/>
    <w:basedOn w:val="DefaultParagraphFont"/>
    <w:rsid w:val="00302AC7"/>
    <w:rPr>
      <w:u w:val="single"/>
    </w:rPr>
  </w:style>
  <w:style w:type="paragraph" w:customStyle="1" w:styleId="TableBodyTextRight">
    <w:name w:val="Table Body Text Right"/>
    <w:basedOn w:val="TableBodyText"/>
    <w:rsid w:val="00302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AC7"/>
    <w:rPr>
      <w:sz w:val="18"/>
    </w:rPr>
  </w:style>
  <w:style w:type="paragraph" w:customStyle="1" w:styleId="BodySmallRight">
    <w:name w:val="Body Small Right"/>
    <w:basedOn w:val="BodyTextRight"/>
    <w:rsid w:val="00302AC7"/>
    <w:rPr>
      <w:sz w:val="18"/>
      <w:szCs w:val="18"/>
    </w:rPr>
  </w:style>
  <w:style w:type="paragraph" w:customStyle="1" w:styleId="MarginEdition">
    <w:name w:val="Margin Edition"/>
    <w:basedOn w:val="MarginNote"/>
    <w:rsid w:val="00302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AC7"/>
    <w:rPr>
      <w:sz w:val="2"/>
      <w:szCs w:val="2"/>
    </w:rPr>
  </w:style>
  <w:style w:type="character" w:customStyle="1" w:styleId="Small">
    <w:name w:val="Small"/>
    <w:basedOn w:val="DefaultParagraphFont"/>
    <w:rsid w:val="00302AC7"/>
    <w:rPr>
      <w:sz w:val="16"/>
    </w:rPr>
  </w:style>
  <w:style w:type="paragraph" w:customStyle="1" w:styleId="WideTable">
    <w:name w:val="Wide Table"/>
    <w:basedOn w:val="Normal"/>
    <w:rsid w:val="00302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AC7"/>
  </w:style>
  <w:style w:type="paragraph" w:styleId="Quote">
    <w:name w:val="Quote"/>
    <w:basedOn w:val="Heading1"/>
    <w:link w:val="QuoteChar"/>
    <w:qFormat/>
    <w:rsid w:val="00302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AC7"/>
    <w:pPr>
      <w:pageBreakBefore/>
    </w:pPr>
  </w:style>
  <w:style w:type="paragraph" w:customStyle="1" w:styleId="Border">
    <w:name w:val="Border"/>
    <w:basedOn w:val="Normal"/>
    <w:qFormat/>
    <w:rsid w:val="00302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AC7"/>
    <w:rPr>
      <w:u w:val="single"/>
    </w:rPr>
  </w:style>
  <w:style w:type="character" w:customStyle="1" w:styleId="BoldandItalics">
    <w:name w:val="Bold and Italics"/>
    <w:qFormat/>
    <w:rsid w:val="00302AC7"/>
    <w:rPr>
      <w:b/>
      <w:i/>
      <w:u w:val="none"/>
    </w:rPr>
  </w:style>
  <w:style w:type="paragraph" w:styleId="BalloonText">
    <w:name w:val="Balloon Text"/>
    <w:basedOn w:val="Normal"/>
    <w:link w:val="BalloonTextChar"/>
    <w:rsid w:val="00302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AC7"/>
    <w:pPr>
      <w:spacing w:before="0" w:after="0"/>
    </w:pPr>
  </w:style>
  <w:style w:type="paragraph" w:customStyle="1" w:styleId="BodyTextBold">
    <w:name w:val="Body Text Bold"/>
    <w:basedOn w:val="BodyText"/>
    <w:qFormat/>
    <w:rsid w:val="00302AC7"/>
    <w:rPr>
      <w:b/>
    </w:rPr>
  </w:style>
  <w:style w:type="character" w:styleId="Hyperlink">
    <w:name w:val="Hyperlink"/>
    <w:basedOn w:val="DefaultParagraphFont"/>
    <w:uiPriority w:val="99"/>
    <w:unhideWhenUsed/>
    <w:rsid w:val="00B76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2717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CPPFES2043 Apply regulations to prevent ozone depleting substance and synthetic greenhouse gas emissions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