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D54" w:rsidP="00325D54">
      <w:pPr>
        <w:pStyle w:val="Title"/>
      </w:pPr>
      <w:r>
        <w:fldChar w:fldCharType="begin"/>
      </w:r>
      <w:r>
        <w:instrText xml:space="preserve"> TITLE   \* MERGEFORMAT </w:instrText>
      </w:r>
      <w:r>
        <w:fldChar w:fldCharType="separate"/>
      </w:r>
      <w:r>
        <w:t>CPPFES2027 Inspect, test and maintain non-gaseous pre-engineered fire-suppression systems</w:t>
      </w:r>
      <w:r>
        <w:fldChar w:fldCharType="end"/>
      </w:r>
    </w:p>
    <w:p w:rsidR="00325D54" w:rsidP="00325D54">
      <w:pPr>
        <w:pStyle w:val="Version"/>
        <w:sectPr w:rsidSect="00DC62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2B1" w:rsidP="00DC62B1">
      <w:pPr>
        <w:pStyle w:val="SuperHeading"/>
      </w:pPr>
      <w:r w:rsidRPr="00DC62B1">
        <w:t>CPPFES2027 Inspect, test and maintain non-gaseous pre-engineered fire-suppression systems</w:t>
      </w:r>
    </w:p>
    <w:p w:rsidR="00000000" w:rsidRPr="00DC62B1" w:rsidP="00DC62B1">
      <w:pPr>
        <w:pStyle w:val="Heading1"/>
      </w:pPr>
      <w:bookmarkStart w:id="1" w:name="O_1163506"/>
      <w:bookmarkEnd w:id="1"/>
      <w:r w:rsidRPr="00DC62B1">
        <w:t>Modification History</w:t>
      </w:r>
    </w:p>
    <w:tbl>
      <w:tblPr>
        <w:tblW w:w="0" w:type="auto"/>
        <w:tblLayout w:type="fixed"/>
        <w:tblCellMar>
          <w:left w:w="62" w:type="dxa"/>
          <w:right w:w="62" w:type="dxa"/>
        </w:tblCellMar>
        <w:tblLook w:val="0000"/>
      </w:tblPr>
      <w:tblGrid>
        <w:gridCol w:w="1305"/>
        <w:gridCol w:w="7597"/>
      </w:tblGrid>
      <w:tr w:rsidTr="00DC62B1">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Release 1</w:t>
            </w:r>
          </w:p>
        </w:tc>
        <w:tc>
          <w:tcPr>
            <w:tcW w:w="7597" w:type="dxa"/>
            <w:tcBorders>
              <w:top w:val="nil"/>
              <w:left w:val="nil"/>
              <w:bottom w:val="nil"/>
              <w:right w:val="nil"/>
            </w:tcBorders>
            <w:tcMar>
              <w:top w:w="0" w:type="dxa"/>
              <w:left w:w="62" w:type="dxa"/>
              <w:bottom w:w="0" w:type="dxa"/>
              <w:right w:w="62" w:type="dxa"/>
            </w:tcMar>
          </w:tcPr>
          <w:p w:rsidR="00000000" w:rsidRPr="00DC62B1" w:rsidP="00DC62B1">
            <w:pPr>
              <w:pStyle w:val="BodyText"/>
            </w:pPr>
            <w:r w:rsidRPr="00DC62B1">
              <w:t>This version first released with CPP Property Services Training Package Release 13.0.</w:t>
            </w:r>
          </w:p>
          <w:p w:rsidR="00000000" w:rsidRPr="00DC62B1" w:rsidP="00DC62B1">
            <w:pPr>
              <w:pStyle w:val="BodyText"/>
            </w:pPr>
            <w:r w:rsidRPr="00DC62B1">
              <w:t>Supersedes and is equivalent to CPPFES2027A Inspect, test and maintain non-gaseous pre-engineered fire-suppression systems.  Unit updated to meet the Standards for Training Packages 2012.</w:t>
            </w:r>
          </w:p>
        </w:tc>
      </w:tr>
    </w:tbl>
    <w:p w:rsidR="00000000" w:rsidRPr="00DC62B1" w:rsidP="00DC62B1">
      <w:pPr>
        <w:pStyle w:val="BodyText"/>
      </w:pPr>
    </w:p>
    <w:p w:rsidR="00000000" w:rsidRPr="00DC62B1" w:rsidP="00DC62B1">
      <w:pPr>
        <w:pStyle w:val="AllowPageBreak"/>
      </w:pPr>
    </w:p>
    <w:p w:rsidR="00000000" w:rsidRPr="00DC62B1" w:rsidP="00DC62B1">
      <w:pPr>
        <w:pStyle w:val="Heading1"/>
      </w:pPr>
      <w:bookmarkStart w:id="2" w:name="O_1163512"/>
      <w:bookmarkEnd w:id="2"/>
      <w:r w:rsidRPr="00DC62B1">
        <w:t>Application</w:t>
      </w:r>
    </w:p>
    <w:p w:rsidR="00000000" w:rsidRPr="00DC62B1" w:rsidP="00325D54">
      <w:pPr>
        <w:pStyle w:val="BodyText"/>
      </w:pPr>
      <w:r w:rsidRPr="00DC62B1">
        <w:t>This unit of competency specifies t</w:t>
      </w:r>
      <w:r w:rsidRPr="00DC62B1">
        <w:t>he skills and knowledge required to inspect, test and maintain pre-engineered foam, wet chemical, powder or water mist fire-suppression systems. Service activities are conducted according to the relevant Australian Standard and manufacturer requirements fo</w:t>
      </w:r>
      <w:r w:rsidRPr="00DC62B1">
        <w:t xml:space="preserve">r the installed system. </w:t>
      </w:r>
    </w:p>
    <w:p w:rsidR="00000000" w:rsidRPr="00DC62B1" w:rsidP="00325D54">
      <w:pPr>
        <w:pStyle w:val="BodyText"/>
      </w:pPr>
      <w:r w:rsidRPr="00DC62B1">
        <w:t>The unit does not cover any installation, replacement, maintenance or repair functions that are restricted to licensed trades or occupations.</w:t>
      </w:r>
    </w:p>
    <w:p w:rsidR="00000000" w:rsidRPr="00DC62B1" w:rsidP="00325D54">
      <w:pPr>
        <w:pStyle w:val="BodyText"/>
      </w:pPr>
      <w:r w:rsidRPr="00DC62B1">
        <w:t>The unit is suitable for those with basic skills and knowledge undertaking routine work t</w:t>
      </w:r>
      <w:r w:rsidRPr="00DC62B1">
        <w:t>asks under the direction of more experienced workers.</w:t>
      </w:r>
    </w:p>
    <w:p w:rsidR="00000000" w:rsidRPr="00DC62B1" w:rsidP="00325D54">
      <w:pPr>
        <w:pStyle w:val="BodyText"/>
      </w:pPr>
      <w:r w:rsidRPr="00DC62B1">
        <w:t>Licensing, legislative, regulatory or certification requirements apply to this unit of competency in some states and territories. For further information, check with the relevant regulatory authority.</w:t>
      </w:r>
    </w:p>
    <w:p w:rsidR="00000000" w:rsidRPr="00DC62B1" w:rsidP="00DC62B1">
      <w:pPr>
        <w:pStyle w:val="Heading1"/>
      </w:pPr>
      <w:bookmarkStart w:id="3" w:name="O_1163511"/>
      <w:bookmarkEnd w:id="3"/>
      <w:r w:rsidRPr="00DC62B1">
        <w:t>Pre-requisite Unit</w:t>
      </w:r>
    </w:p>
    <w:p w:rsidR="00000000" w:rsidRPr="00DC62B1" w:rsidP="00325D54">
      <w:pPr>
        <w:pStyle w:val="BodyText"/>
      </w:pPr>
      <w:r w:rsidRPr="00DC62B1">
        <w:t>Nil.</w:t>
      </w:r>
    </w:p>
    <w:p w:rsidR="00000000" w:rsidRPr="00DC62B1" w:rsidP="00DC62B1">
      <w:pPr>
        <w:pStyle w:val="Heading1"/>
      </w:pPr>
      <w:bookmarkStart w:id="4" w:name="O_1163510"/>
      <w:bookmarkEnd w:id="4"/>
      <w:r w:rsidRPr="00DC62B1">
        <w:t>Unit Sector</w:t>
      </w:r>
    </w:p>
    <w:p w:rsidR="00000000" w:rsidRPr="00DC62B1" w:rsidP="00325D54">
      <w:pPr>
        <w:pStyle w:val="BodyText"/>
      </w:pPr>
      <w:r w:rsidRPr="00DC62B1">
        <w:t>Fire Protection Inspection and Testing</w:t>
      </w:r>
    </w:p>
    <w:p w:rsidR="00000000" w:rsidRPr="00DC62B1" w:rsidP="00DC62B1">
      <w:pPr>
        <w:pStyle w:val="Heading1"/>
      </w:pPr>
      <w:bookmarkStart w:id="5" w:name="O_1163509"/>
      <w:bookmarkEnd w:id="5"/>
      <w:r w:rsidRPr="00DC62B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C62B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Performance criteria describe what needs to be done to demonstrate achievement of the element.</w:t>
            </w:r>
          </w:p>
        </w:tc>
      </w:tr>
      <w:tr w:rsidTr="00DC62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1</w:t>
            </w:r>
          </w:p>
        </w:tc>
        <w:tc>
          <w:tcPr>
            <w:tcW w:w="2357" w:type="dxa"/>
            <w:vMerge w:val="restart"/>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1.1</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Read work instructions to clarify service timeframes, client needs, and site and equipment locations.</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1.2</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Discuss planned service procedures with relevant persons to clarify client needs and expectations.</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1.3</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Plan work activities to comply with relevant Australian Standards, regulatory, work health and safety (WHS) and workplace requirements.</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1.4</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Clarify</w:t>
            </w:r>
            <w:r w:rsidRPr="00DC62B1">
              <w:t xml:space="preserve"> system type and application, extinguishing agent and method of operation to identify potential and actual breaches of rules and regulations and take required action to ensure compliance according to regulatory and workplace requirements.</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1.5</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Select and</w:t>
            </w:r>
            <w:r w:rsidRPr="00DC62B1">
              <w:t xml:space="preserve"> use required tools and equipment, including personal protective equipment (PPE).</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1.6</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Arrange access to worksite and communicate with responsible entity and affected persons to advise duration and impact of planned service procedures and to ensure alter</w:t>
            </w:r>
            <w:r w:rsidRPr="00DC62B1">
              <w:t>native safety arrangements are implemented.</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1.7</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Identify and prepare to control hazards in the work area according to workplace requirements.</w:t>
            </w:r>
          </w:p>
        </w:tc>
      </w:tr>
      <w:tr w:rsidTr="00DC62B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C62B1">
            <w:pPr>
              <w:pStyle w:val="BodyText"/>
              <w:rPr>
                <w:lang w:val="en-NZ"/>
              </w:rPr>
            </w:pPr>
          </w:p>
        </w:tc>
      </w:tr>
      <w:tr w:rsidTr="00DC62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2</w:t>
            </w:r>
          </w:p>
        </w:tc>
        <w:tc>
          <w:tcPr>
            <w:tcW w:w="2357" w:type="dxa"/>
            <w:vMerge w:val="restart"/>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Inspect and survey installed non-gaseous pre-engineered fire-suppression system.</w:t>
            </w: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2.1</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Locate and ins</w:t>
            </w:r>
            <w:r w:rsidRPr="00DC62B1">
              <w:t>pect fire-suppression system components according to function and manufacturer requirements.</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2.2</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Locate and inspect auxiliary shutdown devices of fire-suppression system or equipment interfaces and alarm devices forming part of the system.</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2.3</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Identify and record changes to the system and protected space or its use that do not comply with the relevant Australian Standard or original installation requirements.</w:t>
            </w:r>
          </w:p>
        </w:tc>
      </w:tr>
      <w:tr w:rsidTr="00DC62B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C62B1">
            <w:pPr>
              <w:pStyle w:val="BodyText"/>
              <w:rPr>
                <w:lang w:val="en-NZ"/>
              </w:rPr>
            </w:pPr>
          </w:p>
        </w:tc>
      </w:tr>
      <w:tr w:rsidTr="00DC62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3</w:t>
            </w:r>
          </w:p>
        </w:tc>
        <w:tc>
          <w:tcPr>
            <w:tcW w:w="2357" w:type="dxa"/>
            <w:vMerge w:val="restart"/>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Test installed non-gaseous pre-engineered fire-suppression system.</w:t>
            </w: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3.1</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Carry out system testing procedures according to the relevant maintenance schedule specified in Australian Standards and manufacturer requirements.</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3.2</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Record test results and identified defects according to regulatory and workplace requirements.</w:t>
            </w:r>
          </w:p>
        </w:tc>
      </w:tr>
      <w:tr w:rsidTr="00DC62B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C62B1">
            <w:pPr>
              <w:pStyle w:val="BodyText"/>
              <w:rPr>
                <w:lang w:val="en-NZ"/>
              </w:rPr>
            </w:pPr>
          </w:p>
        </w:tc>
      </w:tr>
      <w:tr w:rsidTr="00DC62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4</w:t>
            </w:r>
          </w:p>
        </w:tc>
        <w:tc>
          <w:tcPr>
            <w:tcW w:w="2357" w:type="dxa"/>
            <w:vMerge w:val="restart"/>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 xml:space="preserve">Maintain and repair installed non-gaseous </w:t>
            </w:r>
            <w:r w:rsidRPr="00DC62B1">
              <w:t>pre-engineered fire-suppression system.</w:t>
            </w: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4.1</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 xml:space="preserve">Carry out system maintenance procedures according to the relevant maintenance schedule, manufacturer and </w:t>
            </w:r>
            <w:r w:rsidRPr="00DC62B1">
              <w:t>workplace requirements.</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4.2</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 xml:space="preserve">Report </w:t>
            </w:r>
            <w:r w:rsidRPr="00DC62B1">
              <w:t>and repair or replace defective equipment or extinguishant according to manufacturer and workplace requirements.</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4.3</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Record maintenance results and details of defective components according to regulatory and workplace requirements.</w:t>
            </w:r>
          </w:p>
        </w:tc>
      </w:tr>
      <w:tr w:rsidTr="00DC62B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C62B1">
            <w:pPr>
              <w:pStyle w:val="BodyText"/>
              <w:rPr>
                <w:lang w:val="en-NZ"/>
              </w:rPr>
            </w:pPr>
          </w:p>
        </w:tc>
      </w:tr>
      <w:tr w:rsidTr="00DC62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5</w:t>
            </w:r>
          </w:p>
        </w:tc>
        <w:tc>
          <w:tcPr>
            <w:tcW w:w="2357" w:type="dxa"/>
            <w:vMerge w:val="restart"/>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Finalise service operation.</w:t>
            </w: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5.1</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Reinstate fire-suppression system as fully operational according to manufacturer requirements.</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5.2</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Complete service documentation detailing outstanding defects and recommended rectifications according to Australian Standa</w:t>
            </w:r>
            <w:r w:rsidRPr="00DC62B1">
              <w:t>rds, regulatory and workplace requirements.</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5.3</w:t>
            </w:r>
          </w:p>
        </w:tc>
        <w:tc>
          <w:tcPr>
            <w:tcW w:w="5659"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Check tools and equipment for faults, wear or damage and rectify or report problems according to workplace requirements.</w:t>
            </w:r>
          </w:p>
        </w:tc>
      </w:tr>
      <w:tr w:rsidTr="00DC62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5.4</w:t>
            </w:r>
          </w:p>
        </w:tc>
        <w:tc>
          <w:tcPr>
            <w:tcW w:w="5659" w:type="dxa"/>
            <w:tcBorders>
              <w:top w:val="nil"/>
              <w:left w:val="nil"/>
              <w:bottom w:val="nil"/>
              <w:right w:val="nil"/>
            </w:tcBorders>
            <w:tcMar>
              <w:top w:w="0" w:type="dxa"/>
              <w:left w:w="62" w:type="dxa"/>
              <w:bottom w:w="0" w:type="dxa"/>
              <w:right w:w="62" w:type="dxa"/>
            </w:tcMar>
          </w:tcPr>
          <w:p w:rsidR="00000000" w:rsidRPr="00DC62B1" w:rsidP="00DC62B1">
            <w:pPr>
              <w:pStyle w:val="BodyText"/>
            </w:pPr>
            <w:r w:rsidRPr="00DC62B1">
              <w:t>Leave client premises in a clean and tidy condition.</w:t>
            </w:r>
          </w:p>
        </w:tc>
      </w:tr>
    </w:tbl>
    <w:p w:rsidR="00000000" w:rsidRPr="00DC62B1" w:rsidP="00DC62B1">
      <w:pPr>
        <w:pStyle w:val="BodyText"/>
      </w:pPr>
    </w:p>
    <w:p w:rsidR="00000000" w:rsidRPr="00DC62B1" w:rsidP="00DC62B1">
      <w:pPr>
        <w:pStyle w:val="AllowPageBreak"/>
      </w:pPr>
    </w:p>
    <w:p w:rsidR="00000000" w:rsidRPr="00DC62B1" w:rsidP="00DC62B1">
      <w:pPr>
        <w:pStyle w:val="Heading1"/>
      </w:pPr>
      <w:bookmarkStart w:id="6" w:name="O_1163508"/>
      <w:bookmarkEnd w:id="6"/>
      <w:r w:rsidRPr="00DC62B1">
        <w:t>Foundation Skills</w:t>
      </w:r>
    </w:p>
    <w:p w:rsidR="00000000" w:rsidRPr="00DC62B1" w:rsidP="00325D54">
      <w:pPr>
        <w:pStyle w:val="BodyText"/>
      </w:pPr>
      <w:r w:rsidRPr="00DC62B1">
        <w:t>Foundation skills essential to performance are explicit in the performance criteria of this unit of competency.</w:t>
      </w:r>
    </w:p>
    <w:p w:rsidR="00000000" w:rsidRPr="00DC62B1" w:rsidP="00DC62B1">
      <w:pPr>
        <w:pStyle w:val="Heading1"/>
      </w:pPr>
      <w:bookmarkStart w:id="7" w:name="O_1163507"/>
      <w:bookmarkEnd w:id="7"/>
      <w:r w:rsidRPr="00DC62B1">
        <w:t>Unit Mapping Information</w:t>
      </w:r>
    </w:p>
    <w:p w:rsidR="00000000" w:rsidRPr="00DC62B1" w:rsidP="00325D54">
      <w:pPr>
        <w:pStyle w:val="BodyText"/>
      </w:pPr>
      <w:r w:rsidRPr="00DC62B1">
        <w:t>Supersedes and is equivalent to CPPFES2027A Inspect, test and maintain non-gaseous</w:t>
      </w:r>
      <w:r w:rsidRPr="00DC62B1">
        <w:t xml:space="preserve"> pre-engineered fire-suppression systems.</w:t>
      </w:r>
    </w:p>
    <w:p w:rsidR="00000000" w:rsidRPr="00DC62B1" w:rsidP="00DC62B1">
      <w:pPr>
        <w:pStyle w:val="Heading1"/>
      </w:pPr>
      <w:bookmarkStart w:id="8" w:name="O_1163500"/>
      <w:bookmarkEnd w:id="8"/>
      <w:r w:rsidRPr="00DC62B1">
        <w:t>Links</w:t>
      </w:r>
    </w:p>
    <w:p w:rsidR="00000000" w:rsidRPr="00DC62B1" w:rsidP="00325D54">
      <w:pPr>
        <w:pStyle w:val="BodyText"/>
      </w:pPr>
      <w:r w:rsidRPr="00DC62B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E7E04">
        <w:rPr>
          <w:rStyle w:val="Hyperlink"/>
        </w:rPr>
        <w:t>https://vetnet.gov.au/Pages/TrainingDocs.aspx?q=6f3f9672-30e8-4835-b348-205dfcf13d9b</w:t>
      </w:r>
      <w:r>
        <w:fldChar w:fldCharType="end"/>
      </w:r>
    </w:p>
    <w:p w:rsidR="00000000" w:rsidRPr="00DC62B1" w:rsidP="00325D54">
      <w:pPr>
        <w:pStyle w:val="BodyText"/>
        <w:sectPr w:rsidSect="00DC62B1">
          <w:headerReference w:type="default" r:id="rId10"/>
          <w:footerReference w:type="default" r:id="rId11"/>
          <w:pgSz w:w="11908" w:h="16833"/>
          <w:pgMar w:top="1702" w:right="1418" w:bottom="1702" w:left="1418" w:header="992" w:footer="992" w:gutter="0"/>
          <w:cols w:space="720"/>
          <w:noEndnote/>
          <w:docGrid w:linePitch="299"/>
        </w:sectPr>
      </w:pPr>
    </w:p>
    <w:p w:rsidR="00000000" w:rsidRPr="00DC62B1" w:rsidP="00DC62B1">
      <w:pPr>
        <w:pStyle w:val="SuperHeading"/>
      </w:pPr>
      <w:r w:rsidRPr="00DC62B1">
        <w:t>Assessment Requirements for CPPFES2027 Inspect, test and maintain non-gaseous pre-engineered fire-suppression systems</w:t>
      </w:r>
    </w:p>
    <w:p w:rsidR="00000000" w:rsidRPr="00DC62B1" w:rsidP="00DC62B1">
      <w:pPr>
        <w:pStyle w:val="Heading1"/>
      </w:pPr>
      <w:bookmarkStart w:id="9" w:name="O_1163502"/>
      <w:bookmarkEnd w:id="9"/>
      <w:r w:rsidRPr="00DC62B1">
        <w:t>Modification History</w:t>
      </w:r>
    </w:p>
    <w:tbl>
      <w:tblPr>
        <w:tblW w:w="0" w:type="auto"/>
        <w:tblLayout w:type="fixed"/>
        <w:tblCellMar>
          <w:left w:w="62" w:type="dxa"/>
          <w:right w:w="62" w:type="dxa"/>
        </w:tblCellMar>
        <w:tblLook w:val="0000"/>
      </w:tblPr>
      <w:tblGrid>
        <w:gridCol w:w="1305"/>
        <w:gridCol w:w="7597"/>
      </w:tblGrid>
      <w:tr w:rsidTr="00DC62B1">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DC62B1">
            <w:pPr>
              <w:pStyle w:val="BodyText"/>
              <w:rPr>
                <w:lang w:val="en-NZ"/>
              </w:rPr>
            </w:pPr>
            <w:r w:rsidRPr="00DC62B1">
              <w:t>Release 1</w:t>
            </w:r>
          </w:p>
        </w:tc>
        <w:tc>
          <w:tcPr>
            <w:tcW w:w="7597" w:type="dxa"/>
            <w:tcBorders>
              <w:top w:val="nil"/>
              <w:left w:val="nil"/>
              <w:bottom w:val="nil"/>
              <w:right w:val="nil"/>
            </w:tcBorders>
            <w:tcMar>
              <w:top w:w="0" w:type="dxa"/>
              <w:left w:w="62" w:type="dxa"/>
              <w:bottom w:w="0" w:type="dxa"/>
              <w:right w:w="62" w:type="dxa"/>
            </w:tcMar>
          </w:tcPr>
          <w:p w:rsidR="00000000" w:rsidRPr="00DC62B1" w:rsidP="00DC62B1">
            <w:pPr>
              <w:pStyle w:val="BodyText"/>
            </w:pPr>
            <w:r w:rsidRPr="00DC62B1">
              <w:t>This version first released with CPP Proper</w:t>
            </w:r>
            <w:r w:rsidRPr="00DC62B1">
              <w:t>ty Services Training Package Release 13.0.</w:t>
            </w:r>
          </w:p>
          <w:p w:rsidR="00000000" w:rsidRPr="00DC62B1" w:rsidP="00DC62B1">
            <w:pPr>
              <w:pStyle w:val="BodyText"/>
            </w:pPr>
            <w:r w:rsidRPr="00DC62B1">
              <w:t>Supersedes and is equivalent to CPPFES2027A Inspect, test and maintain non-gaseous pre-engineered fire-suppression systems.  Unit updated to meet the Standards for Training Packages 2012.</w:t>
            </w:r>
          </w:p>
        </w:tc>
      </w:tr>
    </w:tbl>
    <w:p w:rsidR="00000000" w:rsidRPr="00DC62B1" w:rsidP="00DC62B1">
      <w:pPr>
        <w:pStyle w:val="BodyText"/>
      </w:pPr>
    </w:p>
    <w:p w:rsidR="00000000" w:rsidRPr="00DC62B1" w:rsidP="00DC62B1">
      <w:pPr>
        <w:pStyle w:val="AllowPageBreak"/>
      </w:pPr>
    </w:p>
    <w:p w:rsidR="00000000" w:rsidRPr="00DC62B1" w:rsidP="00DC62B1">
      <w:pPr>
        <w:pStyle w:val="Heading1"/>
      </w:pPr>
      <w:bookmarkStart w:id="10" w:name="O_1163505"/>
      <w:bookmarkEnd w:id="10"/>
      <w:r w:rsidRPr="00DC62B1">
        <w:t>Perf</w:t>
      </w:r>
      <w:r w:rsidRPr="00DC62B1">
        <w:t>ormance Evidence</w:t>
      </w:r>
    </w:p>
    <w:p w:rsidR="00000000" w:rsidRPr="00DC62B1" w:rsidP="00325D54">
      <w:pPr>
        <w:pStyle w:val="BodyText"/>
      </w:pPr>
      <w:r w:rsidRPr="00DC62B1">
        <w:t>To demonstrate competency, a candidate must meet the elements and performance criteria of this unit by:</w:t>
      </w:r>
    </w:p>
    <w:p w:rsidR="00000000" w:rsidRPr="00DC62B1" w:rsidP="00DC62B1">
      <w:pPr>
        <w:pStyle w:val="ListBullet"/>
      </w:pPr>
      <w:r w:rsidRPr="00DC62B1">
        <w:t>inspecting, testing and maintaining two non-gaseous pre-engineered fire-suppression systems installed in different locations and using</w:t>
      </w:r>
      <w:r w:rsidRPr="00DC62B1">
        <w:t xml:space="preserve"> different extinguishing agents</w:t>
      </w:r>
    </w:p>
    <w:p w:rsidR="00000000" w:rsidRPr="00DC62B1" w:rsidP="00DC62B1">
      <w:pPr>
        <w:pStyle w:val="ListBullet"/>
      </w:pPr>
      <w:r w:rsidRPr="00DC62B1">
        <w:t>completing the following maintenance activities for each system:</w:t>
      </w:r>
    </w:p>
    <w:p w:rsidR="00000000" w:rsidRPr="00DC62B1" w:rsidP="00DC62B1">
      <w:pPr>
        <w:pStyle w:val="ListBullet2"/>
      </w:pPr>
      <w:r w:rsidRPr="00DC62B1">
        <w:t>replacing the agent and recharging the system to operational condition</w:t>
      </w:r>
    </w:p>
    <w:p w:rsidR="00000000" w:rsidRPr="00DC62B1" w:rsidP="00DC62B1">
      <w:pPr>
        <w:pStyle w:val="ListBullet2"/>
      </w:pPr>
      <w:r w:rsidRPr="00DC62B1">
        <w:t>replacing one component within the extinguishing system with approved replacement componentry</w:t>
      </w:r>
    </w:p>
    <w:p w:rsidR="00000000" w:rsidRPr="00DC62B1" w:rsidP="00DC62B1">
      <w:pPr>
        <w:pStyle w:val="ListBullet2"/>
      </w:pPr>
      <w:r w:rsidRPr="00DC62B1">
        <w:t>replacing one component within the detection system with approved replacement componentry.</w:t>
      </w:r>
    </w:p>
    <w:p w:rsidR="00000000" w:rsidRPr="00DC62B1" w:rsidP="00DC62B1">
      <w:pPr>
        <w:pStyle w:val="AllowPageBreak"/>
      </w:pPr>
    </w:p>
    <w:p w:rsidR="00000000" w:rsidRPr="00DC62B1" w:rsidP="00DC62B1">
      <w:pPr>
        <w:pStyle w:val="Heading1"/>
      </w:pPr>
      <w:bookmarkStart w:id="11" w:name="O_1163504"/>
      <w:bookmarkEnd w:id="11"/>
      <w:r w:rsidRPr="00DC62B1">
        <w:t>Knowledge Evidence</w:t>
      </w:r>
    </w:p>
    <w:p w:rsidR="00000000" w:rsidRPr="00DC62B1" w:rsidP="00325D54">
      <w:pPr>
        <w:pStyle w:val="BodyText"/>
      </w:pPr>
      <w:r w:rsidRPr="00DC62B1">
        <w:t>To be competent in this unit, a c</w:t>
      </w:r>
      <w:r w:rsidRPr="00DC62B1">
        <w:t>andidate must demonstrate knowledge of:</w:t>
      </w:r>
    </w:p>
    <w:p w:rsidR="00000000" w:rsidRPr="00DC62B1" w:rsidP="00DC62B1">
      <w:pPr>
        <w:pStyle w:val="ListBullet"/>
      </w:pPr>
      <w:r w:rsidRPr="00DC62B1">
        <w:t>action to take when a breach of regulation, work health and safety (WHS) or other policy occurs when inspecting, testing and maintaining non-gaseous pre-engineered fire-suppression systems</w:t>
      </w:r>
    </w:p>
    <w:p w:rsidR="00000000" w:rsidRPr="00DC62B1" w:rsidP="00DC62B1">
      <w:pPr>
        <w:pStyle w:val="ListBullet"/>
      </w:pPr>
      <w:r w:rsidRPr="00DC62B1">
        <w:t>hazards and risks typicall</w:t>
      </w:r>
      <w:r w:rsidRPr="00DC62B1">
        <w:t>y encountered when inspecting, testing and maintaining non-gaseous pre-engineered fire-suppression systems:</w:t>
      </w:r>
    </w:p>
    <w:p w:rsidR="00000000" w:rsidRPr="00DC62B1" w:rsidP="00DC62B1">
      <w:pPr>
        <w:pStyle w:val="ListBullet2"/>
      </w:pPr>
      <w:r w:rsidRPr="00DC62B1">
        <w:t>electrical</w:t>
      </w:r>
    </w:p>
    <w:p w:rsidR="00000000" w:rsidRPr="00DC62B1" w:rsidP="00DC62B1">
      <w:pPr>
        <w:pStyle w:val="ListBullet2"/>
      </w:pPr>
      <w:r w:rsidRPr="00DC62B1">
        <w:t>hazardous materials</w:t>
      </w:r>
    </w:p>
    <w:p w:rsidR="00000000" w:rsidRPr="00DC62B1" w:rsidP="00DC62B1">
      <w:pPr>
        <w:pStyle w:val="ListBullet2"/>
      </w:pPr>
      <w:r w:rsidRPr="00DC62B1">
        <w:t>moving parts</w:t>
      </w:r>
    </w:p>
    <w:p w:rsidR="00000000" w:rsidRPr="00DC62B1" w:rsidP="00DC62B1">
      <w:pPr>
        <w:pStyle w:val="ListBullet"/>
      </w:pPr>
      <w:r w:rsidRPr="00DC62B1">
        <w:t>implications of applying incorrect inspection, testing and maintenance procedures</w:t>
      </w:r>
    </w:p>
    <w:p w:rsidR="00000000" w:rsidRPr="00DC62B1" w:rsidP="00DC62B1">
      <w:pPr>
        <w:pStyle w:val="ListBullet"/>
      </w:pPr>
      <w:r w:rsidRPr="00DC62B1">
        <w:t>implications of not complying with safety, regulatory or manufacturer requirements when inspecting, testing and maintaining non-gaseous pre-engineered fire-suppression systems</w:t>
      </w:r>
    </w:p>
    <w:p w:rsidR="00000000" w:rsidRPr="00DC62B1" w:rsidP="00DC62B1">
      <w:pPr>
        <w:pStyle w:val="ListBullet"/>
      </w:pPr>
      <w:r w:rsidRPr="00DC62B1">
        <w:t>key features of legislation, regulations, codes and Australian Standards relevan</w:t>
      </w:r>
      <w:r w:rsidRPr="00DC62B1">
        <w:t>t to inspecting, testing and maintaining non-gaseous pre-engineered fire-suppression systems:</w:t>
      </w:r>
    </w:p>
    <w:p w:rsidR="00000000" w:rsidRPr="00DC62B1" w:rsidP="00DC62B1">
      <w:pPr>
        <w:pStyle w:val="ListBullet2"/>
      </w:pPr>
      <w:r w:rsidRPr="00DC62B1">
        <w:t>environmental protection</w:t>
      </w:r>
    </w:p>
    <w:p w:rsidR="00000000" w:rsidRPr="00DC62B1" w:rsidP="00DC62B1">
      <w:pPr>
        <w:pStyle w:val="ListBullet2"/>
      </w:pPr>
      <w:r w:rsidRPr="00DC62B1">
        <w:t>limitations of maintenance and repair functions that may be conducted by fire protection technicians</w:t>
      </w:r>
    </w:p>
    <w:p w:rsidR="00000000" w:rsidRPr="00DC62B1" w:rsidP="00DC62B1">
      <w:pPr>
        <w:pStyle w:val="ListBullet2"/>
      </w:pPr>
      <w:r w:rsidRPr="00DC62B1">
        <w:t>maintenance schedules</w:t>
      </w:r>
    </w:p>
    <w:p w:rsidR="00000000" w:rsidRPr="00DC62B1" w:rsidP="00DC62B1">
      <w:pPr>
        <w:pStyle w:val="ListBullet2"/>
      </w:pPr>
      <w:r w:rsidRPr="00DC62B1">
        <w:t>National Cons</w:t>
      </w:r>
      <w:r w:rsidRPr="00DC62B1">
        <w:t>truction Code (NCC) and deemed-to-satisfy requirements</w:t>
      </w:r>
    </w:p>
    <w:p w:rsidR="00000000" w:rsidRPr="00DC62B1" w:rsidP="00DC62B1">
      <w:pPr>
        <w:pStyle w:val="ListBullet2"/>
      </w:pPr>
      <w:r w:rsidRPr="00DC62B1">
        <w:t>records and documentation</w:t>
      </w:r>
    </w:p>
    <w:p w:rsidR="00000000" w:rsidRPr="00DC62B1" w:rsidP="00DC62B1">
      <w:pPr>
        <w:pStyle w:val="ListBullet"/>
      </w:pPr>
      <w:r w:rsidRPr="00DC62B1">
        <w:t>procedures for inspecting, testing and maintaining non-gaseous pre-engineered fire-suppression systems to verify operation in line with manufacturer requirements</w:t>
      </w:r>
    </w:p>
    <w:p w:rsidR="00000000" w:rsidRPr="00DC62B1" w:rsidP="00DC62B1">
      <w:pPr>
        <w:pStyle w:val="ListBullet"/>
      </w:pPr>
      <w:r w:rsidRPr="00DC62B1">
        <w:t>purpose of f</w:t>
      </w:r>
      <w:r w:rsidRPr="00DC62B1">
        <w:t>ire-suppression system shutdown and isolation during maintenance</w:t>
      </w:r>
    </w:p>
    <w:p w:rsidR="00000000" w:rsidRPr="00DC62B1" w:rsidP="00DC62B1">
      <w:pPr>
        <w:pStyle w:val="ListBullet"/>
      </w:pPr>
      <w:r w:rsidRPr="00DC62B1">
        <w:t>types and purpose of non-gaseous pre-engineered fire-suppression systems</w:t>
      </w:r>
    </w:p>
    <w:p w:rsidR="00000000" w:rsidRPr="00DC62B1" w:rsidP="00DC62B1">
      <w:pPr>
        <w:pStyle w:val="ListBullet"/>
      </w:pPr>
      <w:r w:rsidRPr="00DC62B1">
        <w:t>types of extinguishing agents, their characteristics and use</w:t>
      </w:r>
    </w:p>
    <w:p w:rsidR="00000000" w:rsidRPr="00DC62B1" w:rsidP="00DC62B1">
      <w:pPr>
        <w:pStyle w:val="ListBullet"/>
      </w:pPr>
      <w:r w:rsidRPr="00DC62B1">
        <w:t>types and purpose of major components used in fixed insta</w:t>
      </w:r>
      <w:r w:rsidRPr="00DC62B1">
        <w:t>lled non-gaseous pre-engineered fire-suppression systems:</w:t>
      </w:r>
    </w:p>
    <w:p w:rsidR="00000000" w:rsidRPr="00DC62B1" w:rsidP="00DC62B1">
      <w:pPr>
        <w:pStyle w:val="ListBullet2"/>
      </w:pPr>
      <w:r w:rsidRPr="00DC62B1">
        <w:t>actuators: mechanical, pyrotechnic and solenoid</w:t>
      </w:r>
    </w:p>
    <w:p w:rsidR="00000000" w:rsidRPr="00DC62B1" w:rsidP="00DC62B1">
      <w:pPr>
        <w:pStyle w:val="ListBullet2"/>
      </w:pPr>
      <w:r w:rsidRPr="00DC62B1">
        <w:t>agent discharge nozzles</w:t>
      </w:r>
    </w:p>
    <w:p w:rsidR="00000000" w:rsidRPr="00DC62B1" w:rsidP="00DC62B1">
      <w:pPr>
        <w:pStyle w:val="ListBullet2"/>
      </w:pPr>
      <w:r w:rsidRPr="00DC62B1">
        <w:t>agent distribution pipework and hoses</w:t>
      </w:r>
    </w:p>
    <w:p w:rsidR="00000000" w:rsidRPr="00DC62B1" w:rsidP="00DC62B1">
      <w:pPr>
        <w:pStyle w:val="ListBullet2"/>
      </w:pPr>
      <w:r w:rsidRPr="00DC62B1">
        <w:t>container valves</w:t>
      </w:r>
    </w:p>
    <w:p w:rsidR="00000000" w:rsidRPr="00DC62B1" w:rsidP="00DC62B1">
      <w:pPr>
        <w:pStyle w:val="ListBullet2"/>
      </w:pPr>
      <w:r w:rsidRPr="00DC62B1">
        <w:t>control equipment</w:t>
      </w:r>
    </w:p>
    <w:p w:rsidR="00000000" w:rsidRPr="00DC62B1" w:rsidP="00DC62B1">
      <w:pPr>
        <w:pStyle w:val="ListBullet2"/>
      </w:pPr>
      <w:r w:rsidRPr="00DC62B1">
        <w:t>detection devices</w:t>
      </w:r>
    </w:p>
    <w:p w:rsidR="00000000" w:rsidRPr="00DC62B1" w:rsidP="00DC62B1">
      <w:pPr>
        <w:pStyle w:val="ListBullet2"/>
      </w:pPr>
      <w:r w:rsidRPr="00DC62B1">
        <w:t>extinguishing agent containers, such as tanks and cylinders</w:t>
      </w:r>
    </w:p>
    <w:p w:rsidR="00000000" w:rsidRPr="00DC62B1" w:rsidP="00DC62B1">
      <w:pPr>
        <w:pStyle w:val="ListBullet2"/>
      </w:pPr>
      <w:r w:rsidRPr="00DC62B1">
        <w:t>support brackets</w:t>
      </w:r>
    </w:p>
    <w:p w:rsidR="00000000" w:rsidRPr="00DC62B1" w:rsidP="00DC62B1">
      <w:pPr>
        <w:pStyle w:val="ListBullet"/>
      </w:pPr>
      <w:r w:rsidRPr="00DC62B1">
        <w:t>types and purpose of tools and equipment used when inspecting, testing and maintaining non-gaseous pre-engineered fire-suppression systems:</w:t>
      </w:r>
    </w:p>
    <w:p w:rsidR="00000000" w:rsidRPr="00DC62B1" w:rsidP="00DC62B1">
      <w:pPr>
        <w:pStyle w:val="ListBullet2"/>
      </w:pPr>
      <w:r w:rsidRPr="00DC62B1">
        <w:t>hand and power tools</w:t>
      </w:r>
    </w:p>
    <w:p w:rsidR="00000000" w:rsidRPr="00DC62B1" w:rsidP="00DC62B1">
      <w:pPr>
        <w:pStyle w:val="ListBullet2"/>
      </w:pPr>
      <w:r w:rsidRPr="00DC62B1">
        <w:t>pressurising equ</w:t>
      </w:r>
      <w:r w:rsidRPr="00DC62B1">
        <w:t>ipment</w:t>
      </w:r>
    </w:p>
    <w:p w:rsidR="00000000" w:rsidRPr="00DC62B1" w:rsidP="00DC62B1">
      <w:pPr>
        <w:pStyle w:val="ListBullet2"/>
      </w:pPr>
      <w:r w:rsidRPr="00DC62B1">
        <w:t>personal protective equipment (PPE)</w:t>
      </w:r>
    </w:p>
    <w:p w:rsidR="00000000" w:rsidRPr="00DC62B1" w:rsidP="00DC62B1">
      <w:pPr>
        <w:pStyle w:val="ListBullet"/>
      </w:pPr>
      <w:r w:rsidRPr="00DC62B1">
        <w:t>workplace requirements for inspecting, testing and maintaining non-gaseous pre-engineered fire-suppression systems:</w:t>
      </w:r>
    </w:p>
    <w:p w:rsidR="00000000" w:rsidRPr="00DC62B1" w:rsidP="00DC62B1">
      <w:pPr>
        <w:pStyle w:val="ListBullet2"/>
      </w:pPr>
      <w:r w:rsidRPr="00DC62B1">
        <w:t>maintenance of tools and equipment</w:t>
      </w:r>
    </w:p>
    <w:p w:rsidR="00000000" w:rsidRPr="00DC62B1" w:rsidP="00DC62B1">
      <w:pPr>
        <w:pStyle w:val="ListBullet2"/>
      </w:pPr>
      <w:r w:rsidRPr="00DC62B1">
        <w:t>WHS, including hazard and risk identification and control.</w:t>
      </w:r>
    </w:p>
    <w:p w:rsidR="00000000" w:rsidRPr="00DC62B1" w:rsidP="00DC62B1">
      <w:pPr>
        <w:pStyle w:val="AllowPageBreak"/>
      </w:pPr>
    </w:p>
    <w:p w:rsidR="00000000" w:rsidRPr="00DC62B1" w:rsidP="00DC62B1">
      <w:pPr>
        <w:pStyle w:val="Heading1"/>
      </w:pPr>
      <w:bookmarkStart w:id="12" w:name="O_1163503"/>
      <w:bookmarkEnd w:id="12"/>
      <w:r w:rsidRPr="00DC62B1">
        <w:t>Assessment Conditions</w:t>
      </w:r>
    </w:p>
    <w:p w:rsidR="00000000" w:rsidRPr="00DC62B1" w:rsidP="00325D54">
      <w:pPr>
        <w:pStyle w:val="BodyText"/>
      </w:pPr>
      <w:r w:rsidRPr="00DC62B1">
        <w:t xml:space="preserve">Assessors must meet the requirements for assessors contained in the Standards for Registered Training Organisations. </w:t>
      </w:r>
    </w:p>
    <w:p w:rsidR="00000000" w:rsidRPr="00DC62B1" w:rsidP="00325D54">
      <w:pPr>
        <w:pStyle w:val="BodyText"/>
      </w:pPr>
      <w:r w:rsidRPr="00DC62B1">
        <w:t>Assessment must be conducted in the workplace or a simulated workplace using realistic conditions,</w:t>
      </w:r>
      <w:r w:rsidRPr="00DC62B1">
        <w:t xml:space="preserve"> materials, activities, responsibilities, procedures, safety requirements and environmental considerations.</w:t>
      </w:r>
    </w:p>
    <w:p w:rsidR="00000000" w:rsidRPr="00DC62B1" w:rsidP="00325D54">
      <w:pPr>
        <w:pStyle w:val="BodyText"/>
      </w:pPr>
      <w:r w:rsidRPr="00DC62B1">
        <w:t xml:space="preserve">Candidates must have access to documentation, tools, equipment, spare parts and installed fixed non-gaseous pre-engineered fire-suppression systems </w:t>
      </w:r>
      <w:r w:rsidRPr="00DC62B1">
        <w:t>required to achieve the performance evidence.</w:t>
      </w:r>
    </w:p>
    <w:p w:rsidR="00000000" w:rsidRPr="00DC62B1" w:rsidP="00DC62B1">
      <w:pPr>
        <w:pStyle w:val="Heading1"/>
      </w:pPr>
      <w:bookmarkStart w:id="13" w:name="O_1163501"/>
      <w:bookmarkEnd w:id="13"/>
      <w:r w:rsidRPr="00DC62B1">
        <w:t>Links</w:t>
      </w:r>
    </w:p>
    <w:p w:rsidR="00000000" w:rsidRPr="00DC62B1" w:rsidP="00325D54">
      <w:pPr>
        <w:pStyle w:val="BodyText"/>
      </w:pPr>
      <w:r w:rsidRPr="00DC62B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E7E04">
        <w:rPr>
          <w:rStyle w:val="Hyperlink"/>
        </w:rPr>
        <w:t>https://vetnet.gov.au/Pages/TrainingDocs.aspx?q=6f3f9672-30e8-4835-b348-205dfcf13d9b</w:t>
      </w:r>
      <w:r>
        <w:fldChar w:fldCharType="end"/>
      </w:r>
    </w:p>
    <w:p w:rsidR="00000000" w:rsidRPr="00DC62B1" w:rsidP="00DC62B1"/>
    <w:sectPr w:rsidSect="00DC62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B1" w:rsidRPr="00325D54" w:rsidP="00325D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54" w:rsidP="00DC62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5D54" w:rsidP="00DC62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25D54" w:rsidP="00DC62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B1" w:rsidP="00DC62B1">
    <w:pPr>
      <w:pStyle w:val="Footer"/>
      <w:framePr w:wrap="around"/>
    </w:pPr>
    <w:r>
      <w:fldChar w:fldCharType="begin"/>
    </w:r>
    <w:r>
      <w:instrText xml:space="preserve"> DOCPROPERTY  Subject  \* MERGEFORMAT </w:instrText>
    </w:r>
    <w:r>
      <w:fldChar w:fldCharType="separate"/>
    </w:r>
    <w:r w:rsidR="00325D54">
      <w:t>Approved</w:t>
    </w:r>
    <w:r w:rsidR="00325D54">
      <w:fldChar w:fldCharType="end"/>
    </w:r>
    <w:r>
      <w:tab/>
      <w:t xml:space="preserve">Page </w:t>
    </w:r>
    <w:r>
      <w:fldChar w:fldCharType="begin"/>
    </w:r>
    <w:r>
      <w:instrText xml:space="preserve"> PAGE  \* Arabic  \* MERGEFORMAT </w:instrText>
    </w:r>
    <w:r>
      <w:fldChar w:fldCharType="separate"/>
    </w:r>
    <w:r w:rsidR="00325D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5D54">
      <w:rPr>
        <w:noProof/>
      </w:rPr>
      <w:t>4</w:t>
    </w:r>
    <w:r>
      <w:rPr>
        <w:noProof/>
      </w:rPr>
      <w:fldChar w:fldCharType="end"/>
    </w:r>
  </w:p>
  <w:p w:rsidR="00DC62B1" w:rsidP="00DC62B1">
    <w:pPr>
      <w:pStyle w:val="Footer"/>
      <w:framePr w:wrap="around"/>
    </w:pPr>
    <w:r>
      <w:t xml:space="preserve">© Commonwealth of Australia, </w:t>
    </w:r>
    <w:r>
      <w:fldChar w:fldCharType="begin"/>
    </w:r>
    <w:r>
      <w:instrText xml:space="preserve"> DATE  \@ "yyyy"  \* MERGEFORMAT </w:instrText>
    </w:r>
    <w:r>
      <w:fldChar w:fldCharType="separate"/>
    </w:r>
    <w:r w:rsidR="00325D54">
      <w:rPr>
        <w:noProof/>
      </w:rPr>
      <w:t>2025</w:t>
    </w:r>
    <w:r>
      <w:fldChar w:fldCharType="end"/>
    </w:r>
    <w:r>
      <w:tab/>
    </w:r>
    <w:r>
      <w:fldChar w:fldCharType="begin"/>
    </w:r>
    <w:r>
      <w:instrText xml:space="preserve"> DOCPROPERTY  Author  \* MERGEFORMAT </w:instrText>
    </w:r>
    <w:r>
      <w:fldChar w:fldCharType="separate"/>
    </w:r>
    <w:r w:rsidR="00325D54">
      <w:t>BuildSkills Australia</w:t>
    </w:r>
    <w:r w:rsidR="00325D54">
      <w:fldChar w:fldCharType="end"/>
    </w:r>
  </w:p>
  <w:p w:rsidR="00DC62B1" w:rsidP="00DC62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2B1" w:rsidRPr="00325D54" w:rsidP="00325D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54" w:rsidRPr="002D2AF8" w:rsidP="00DC62B1">
    <w:pPr>
      <w:pStyle w:val="Header"/>
      <w:framePr w:wrap="around"/>
    </w:pPr>
    <w:r>
      <w:fldChar w:fldCharType="begin"/>
    </w:r>
    <w:r>
      <w:instrText xml:space="preserve"> TITLE   \* MERGEFORMAT </w:instrText>
    </w:r>
    <w:r>
      <w:fldChar w:fldCharType="separate"/>
    </w:r>
    <w:r>
      <w:t>CPPFES2027 Inspect, test and maintain non-gaseous pre-engineered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5D54" w:rsidP="00DC62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B1" w:rsidRPr="002D2AF8" w:rsidP="00DC62B1">
    <w:pPr>
      <w:pStyle w:val="Header"/>
      <w:framePr w:wrap="around"/>
    </w:pPr>
    <w:r>
      <w:fldChar w:fldCharType="begin"/>
    </w:r>
    <w:r>
      <w:instrText xml:space="preserve"> TITLE   \* MERGEFORMAT </w:instrText>
    </w:r>
    <w:r>
      <w:fldChar w:fldCharType="separate"/>
    </w:r>
    <w:r w:rsidR="00325D54">
      <w:t>CPPFES2027 Inspect, test and maintain non-gaseous pre-engineered fire-suppression systems</w:t>
    </w:r>
    <w:r w:rsidR="00325D54">
      <w:fldChar w:fldCharType="end"/>
    </w:r>
    <w:r>
      <w:tab/>
      <w:t xml:space="preserve">Date this document was generated: </w:t>
    </w:r>
    <w:r>
      <w:fldChar w:fldCharType="begin"/>
    </w:r>
    <w:r>
      <w:instrText xml:space="preserve"> CREATEDATE  \@ "d MMMM yyyy"  \* MERGEFORMAT </w:instrText>
    </w:r>
    <w:r>
      <w:fldChar w:fldCharType="separate"/>
    </w:r>
    <w:r w:rsidR="00325D54">
      <w:rPr>
        <w:noProof/>
      </w:rPr>
      <w:t>2 March 2025</w:t>
    </w:r>
    <w:r>
      <w:fldChar w:fldCharType="end"/>
    </w:r>
  </w:p>
  <w:p w:rsidR="00DC62B1" w:rsidP="00DC62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04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A27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8C4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2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2B1"/>
    <w:pPr>
      <w:spacing w:before="360" w:after="60"/>
      <w:outlineLvl w:val="0"/>
    </w:pPr>
    <w:rPr>
      <w:sz w:val="32"/>
    </w:rPr>
  </w:style>
  <w:style w:type="paragraph" w:styleId="Heading2">
    <w:name w:val="heading 2"/>
    <w:basedOn w:val="HeadingBase"/>
    <w:next w:val="BodyText"/>
    <w:link w:val="Heading2Char"/>
    <w:qFormat/>
    <w:rsid w:val="00DC62B1"/>
    <w:pPr>
      <w:keepLines/>
      <w:spacing w:before="240" w:after="120"/>
      <w:outlineLvl w:val="1"/>
    </w:pPr>
    <w:rPr>
      <w:sz w:val="28"/>
      <w:szCs w:val="40"/>
    </w:rPr>
  </w:style>
  <w:style w:type="paragraph" w:styleId="Heading3">
    <w:name w:val="heading 3"/>
    <w:basedOn w:val="HeadingBase"/>
    <w:next w:val="BodyText"/>
    <w:link w:val="Heading3Char"/>
    <w:qFormat/>
    <w:rsid w:val="00DC62B1"/>
    <w:pPr>
      <w:spacing w:before="180" w:after="120"/>
      <w:outlineLvl w:val="2"/>
    </w:pPr>
    <w:rPr>
      <w:spacing w:val="-10"/>
      <w:kern w:val="32"/>
    </w:rPr>
  </w:style>
  <w:style w:type="paragraph" w:styleId="Heading4">
    <w:name w:val="heading 4"/>
    <w:basedOn w:val="HeadingBase"/>
    <w:next w:val="BodyText"/>
    <w:link w:val="Heading4Char"/>
    <w:qFormat/>
    <w:rsid w:val="00DC62B1"/>
    <w:pPr>
      <w:spacing w:before="160" w:after="120"/>
      <w:outlineLvl w:val="3"/>
    </w:pPr>
    <w:rPr>
      <w:sz w:val="22"/>
    </w:rPr>
  </w:style>
  <w:style w:type="paragraph" w:styleId="Heading5">
    <w:name w:val="heading 5"/>
    <w:basedOn w:val="HeadingBase"/>
    <w:next w:val="Normal"/>
    <w:link w:val="Heading5Char"/>
    <w:qFormat/>
    <w:rsid w:val="00DC62B1"/>
    <w:pPr>
      <w:spacing w:before="80"/>
      <w:outlineLvl w:val="4"/>
    </w:pPr>
    <w:rPr>
      <w:color w:val="918585"/>
      <w:sz w:val="20"/>
    </w:rPr>
  </w:style>
  <w:style w:type="paragraph" w:styleId="Heading6">
    <w:name w:val="heading 6"/>
    <w:basedOn w:val="HeadingBase"/>
    <w:next w:val="Normal"/>
    <w:link w:val="Heading6Char"/>
    <w:qFormat/>
    <w:rsid w:val="00DC62B1"/>
    <w:pPr>
      <w:spacing w:before="60"/>
      <w:outlineLvl w:val="5"/>
    </w:pPr>
    <w:rPr>
      <w:color w:val="918585"/>
      <w:sz w:val="20"/>
    </w:rPr>
  </w:style>
  <w:style w:type="paragraph" w:styleId="Heading7">
    <w:name w:val="heading 7"/>
    <w:basedOn w:val="Normal"/>
    <w:next w:val="Normal"/>
    <w:link w:val="Heading7Char"/>
    <w:qFormat/>
    <w:rsid w:val="00DC62B1"/>
    <w:pPr>
      <w:ind w:left="720"/>
      <w:outlineLvl w:val="6"/>
    </w:pPr>
    <w:rPr>
      <w:i/>
    </w:rPr>
  </w:style>
  <w:style w:type="paragraph" w:styleId="Heading8">
    <w:name w:val="heading 8"/>
    <w:basedOn w:val="Normal"/>
    <w:next w:val="Normal"/>
    <w:link w:val="Heading8Char"/>
    <w:qFormat/>
    <w:rsid w:val="00DC62B1"/>
    <w:pPr>
      <w:ind w:left="720"/>
      <w:outlineLvl w:val="7"/>
    </w:pPr>
    <w:rPr>
      <w:i/>
    </w:rPr>
  </w:style>
  <w:style w:type="paragraph" w:styleId="Heading9">
    <w:name w:val="heading 9"/>
    <w:basedOn w:val="Normal"/>
    <w:next w:val="Normal"/>
    <w:link w:val="Heading9Char"/>
    <w:qFormat/>
    <w:rsid w:val="00DC62B1"/>
    <w:pPr>
      <w:ind w:left="720"/>
      <w:outlineLvl w:val="8"/>
    </w:pPr>
    <w:rPr>
      <w:i/>
    </w:rPr>
  </w:style>
  <w:style w:type="character" w:default="1" w:styleId="DefaultParagraphFont">
    <w:name w:val="Default Paragraph Font"/>
    <w:uiPriority w:val="1"/>
    <w:unhideWhenUsed/>
    <w:rsid w:val="00DC62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2B1"/>
  </w:style>
  <w:style w:type="character" w:customStyle="1" w:styleId="Heading1Char">
    <w:name w:val="Heading 1 Char"/>
    <w:basedOn w:val="DefaultParagraphFont"/>
    <w:link w:val="Heading1"/>
    <w:rsid w:val="00DC62B1"/>
    <w:rPr>
      <w:rFonts w:ascii="Times New Roman" w:eastAsia="Times New Roman" w:hAnsi="Times New Roman" w:cs="Times New Roman"/>
      <w:b/>
      <w:sz w:val="32"/>
      <w:szCs w:val="20"/>
      <w:lang w:eastAsia="en-US"/>
    </w:rPr>
  </w:style>
  <w:style w:type="paragraph" w:styleId="BodyText">
    <w:name w:val="Body Text"/>
    <w:basedOn w:val="Normal"/>
    <w:link w:val="BodyTextChar"/>
    <w:rsid w:val="00DC62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2B1"/>
    <w:rPr>
      <w:rFonts w:ascii="Times New Roman" w:eastAsia="Times New Roman" w:hAnsi="Times New Roman" w:cs="Times New Roman"/>
      <w:sz w:val="24"/>
      <w:lang w:eastAsia="en-US"/>
    </w:rPr>
  </w:style>
  <w:style w:type="paragraph" w:styleId="ListBullet">
    <w:name w:val="List Bullet"/>
    <w:basedOn w:val="List"/>
    <w:rsid w:val="00DC62B1"/>
    <w:pPr>
      <w:numPr>
        <w:numId w:val="12"/>
      </w:numPr>
      <w:tabs>
        <w:tab w:val="clear" w:pos="340"/>
      </w:tabs>
      <w:spacing w:before="40" w:after="40"/>
    </w:pPr>
  </w:style>
  <w:style w:type="paragraph" w:styleId="ListBullet2">
    <w:name w:val="List Bullet 2"/>
    <w:basedOn w:val="List2"/>
    <w:rsid w:val="00DC62B1"/>
    <w:pPr>
      <w:numPr>
        <w:numId w:val="13"/>
      </w:numPr>
      <w:tabs>
        <w:tab w:val="clear" w:pos="680"/>
      </w:tabs>
    </w:pPr>
  </w:style>
  <w:style w:type="paragraph" w:customStyle="1" w:styleId="SuperHeading">
    <w:name w:val="SuperHeading"/>
    <w:basedOn w:val="Normal"/>
    <w:rsid w:val="00DC62B1"/>
    <w:pPr>
      <w:spacing w:before="240" w:after="120"/>
      <w:outlineLvl w:val="0"/>
    </w:pPr>
    <w:rPr>
      <w:rFonts w:ascii="Times New Roman" w:hAnsi="Times New Roman"/>
      <w:b/>
      <w:sz w:val="32"/>
    </w:rPr>
  </w:style>
  <w:style w:type="paragraph" w:customStyle="1" w:styleId="AllowPageBreak">
    <w:name w:val="AllowPageBreak"/>
    <w:rsid w:val="00DC62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2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2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2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2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2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2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2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2B1"/>
    <w:rPr>
      <w:rFonts w:ascii="Courier New" w:eastAsia="Times New Roman" w:hAnsi="Courier New" w:cs="Times New Roman"/>
      <w:i/>
      <w:szCs w:val="20"/>
      <w:lang w:eastAsia="en-US"/>
    </w:rPr>
  </w:style>
  <w:style w:type="paragraph" w:customStyle="1" w:styleId="HeadingBase">
    <w:name w:val="Heading Base"/>
    <w:rsid w:val="00DC62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2B1"/>
    <w:pPr>
      <w:tabs>
        <w:tab w:val="right" w:leader="dot" w:pos="9072"/>
      </w:tabs>
      <w:ind w:left="567"/>
    </w:pPr>
    <w:rPr>
      <w:szCs w:val="22"/>
    </w:rPr>
  </w:style>
  <w:style w:type="paragraph" w:customStyle="1" w:styleId="TOCBase">
    <w:name w:val="TOC Base"/>
    <w:rsid w:val="00DC62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2B1"/>
    <w:pPr>
      <w:tabs>
        <w:tab w:val="right" w:leader="dot" w:pos="9072"/>
      </w:tabs>
      <w:spacing w:before="40" w:after="40"/>
      <w:ind w:left="284"/>
    </w:pPr>
    <w:rPr>
      <w:rFonts w:ascii="Times New Roman" w:hAnsi="Times New Roman"/>
    </w:rPr>
  </w:style>
  <w:style w:type="paragraph" w:styleId="TOC1">
    <w:name w:val="toc 1"/>
    <w:basedOn w:val="TOCBase"/>
    <w:next w:val="Normal"/>
    <w:rsid w:val="00DC62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2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2B1"/>
    <w:rPr>
      <w:rFonts w:ascii="Times New Roman" w:eastAsia="Times New Roman" w:hAnsi="Times New Roman" w:cs="Times New Roman"/>
      <w:sz w:val="16"/>
      <w:lang w:eastAsia="en-US"/>
    </w:rPr>
  </w:style>
  <w:style w:type="paragraph" w:styleId="Title">
    <w:name w:val="Title"/>
    <w:basedOn w:val="HeadingBase"/>
    <w:link w:val="TitleChar"/>
    <w:qFormat/>
    <w:rsid w:val="00DC62B1"/>
    <w:pPr>
      <w:spacing w:before="5040"/>
      <w:jc w:val="center"/>
    </w:pPr>
    <w:rPr>
      <w:sz w:val="48"/>
      <w:szCs w:val="72"/>
      <w:lang w:val="en-US"/>
    </w:rPr>
  </w:style>
  <w:style w:type="character" w:customStyle="1" w:styleId="TitleChar">
    <w:name w:val="Title Char"/>
    <w:basedOn w:val="DefaultParagraphFont"/>
    <w:link w:val="Title"/>
    <w:rsid w:val="00DC62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2B1"/>
    <w:pPr>
      <w:tabs>
        <w:tab w:val="left" w:pos="3600"/>
        <w:tab w:val="left" w:pos="3958"/>
      </w:tabs>
    </w:pPr>
  </w:style>
  <w:style w:type="paragraph" w:styleId="List">
    <w:name w:val="List"/>
    <w:basedOn w:val="BodyText"/>
    <w:next w:val="BodyText"/>
    <w:rsid w:val="00DC62B1"/>
    <w:pPr>
      <w:tabs>
        <w:tab w:val="left" w:pos="340"/>
      </w:tabs>
      <w:spacing w:before="60" w:after="60"/>
      <w:ind w:left="340" w:hanging="340"/>
    </w:pPr>
  </w:style>
  <w:style w:type="paragraph" w:customStyle="1" w:styleId="Note">
    <w:name w:val="Note"/>
    <w:basedOn w:val="BodyText"/>
    <w:rsid w:val="00DC62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62B1"/>
    <w:rPr>
      <w:b/>
      <w:spacing w:val="0"/>
    </w:rPr>
  </w:style>
  <w:style w:type="paragraph" w:customStyle="1" w:styleId="SuperTitle">
    <w:name w:val="SuperTitle"/>
    <w:basedOn w:val="Title"/>
    <w:rsid w:val="00DC62B1"/>
    <w:pPr>
      <w:framePr w:wrap="auto" w:hAnchor="text" w:y="6049"/>
    </w:pPr>
    <w:rPr>
      <w:color w:val="000000"/>
      <w:sz w:val="40"/>
    </w:rPr>
  </w:style>
  <w:style w:type="paragraph" w:customStyle="1" w:styleId="TOCTitle">
    <w:name w:val="TOCTitle"/>
    <w:basedOn w:val="Heading1"/>
    <w:rsid w:val="00DC62B1"/>
    <w:pPr>
      <w:spacing w:after="240"/>
      <w:jc w:val="center"/>
      <w:outlineLvl w:val="9"/>
    </w:pPr>
    <w:rPr>
      <w:caps/>
    </w:rPr>
  </w:style>
  <w:style w:type="paragraph" w:customStyle="1" w:styleId="Version">
    <w:name w:val="Version"/>
    <w:rsid w:val="00DC62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2B1"/>
    <w:pPr>
      <w:keepNext w:val="0"/>
      <w:tabs>
        <w:tab w:val="right" w:pos="4176"/>
      </w:tabs>
      <w:ind w:left="198" w:hanging="198"/>
    </w:pPr>
    <w:rPr>
      <w:rFonts w:ascii="Garamond" w:hAnsi="Garamond"/>
    </w:rPr>
  </w:style>
  <w:style w:type="paragraph" w:styleId="IndexHeading">
    <w:name w:val="index heading"/>
    <w:basedOn w:val="Normal"/>
    <w:next w:val="Index1"/>
    <w:semiHidden/>
    <w:rsid w:val="00DC62B1"/>
    <w:pPr>
      <w:spacing w:before="120" w:after="120"/>
    </w:pPr>
    <w:rPr>
      <w:rFonts w:ascii="Arial" w:hAnsi="Arial"/>
      <w:b/>
      <w:color w:val="918585"/>
      <w:sz w:val="24"/>
    </w:rPr>
  </w:style>
  <w:style w:type="paragraph" w:styleId="Header">
    <w:name w:val="header"/>
    <w:basedOn w:val="Normal"/>
    <w:link w:val="HeaderChar"/>
    <w:rsid w:val="00DC62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2B1"/>
    <w:rPr>
      <w:rFonts w:ascii="Times New Roman" w:eastAsia="Times New Roman" w:hAnsi="Times New Roman" w:cs="Times New Roman"/>
      <w:sz w:val="16"/>
      <w:szCs w:val="20"/>
      <w:lang w:val="en-GB" w:eastAsia="en-US"/>
    </w:rPr>
  </w:style>
  <w:style w:type="paragraph" w:customStyle="1" w:styleId="Chapter">
    <w:name w:val="Chapter"/>
    <w:basedOn w:val="Normal"/>
    <w:rsid w:val="00DC62B1"/>
    <w:pPr>
      <w:spacing w:before="240"/>
    </w:pPr>
    <w:rPr>
      <w:rFonts w:ascii="Times New Roman" w:hAnsi="Times New Roman"/>
      <w:smallCaps/>
      <w:spacing w:val="80"/>
      <w:sz w:val="28"/>
    </w:rPr>
  </w:style>
  <w:style w:type="paragraph" w:customStyle="1" w:styleId="InChapter">
    <w:name w:val="InChapter"/>
    <w:basedOn w:val="Heading3"/>
    <w:rsid w:val="00DC62B1"/>
    <w:pPr>
      <w:spacing w:after="240"/>
      <w:outlineLvl w:val="9"/>
    </w:pPr>
    <w:rPr>
      <w:noProof/>
    </w:rPr>
  </w:style>
  <w:style w:type="paragraph" w:styleId="Index2">
    <w:name w:val="index 2"/>
    <w:basedOn w:val="Normal"/>
    <w:next w:val="Normal"/>
    <w:semiHidden/>
    <w:rsid w:val="00DC62B1"/>
    <w:pPr>
      <w:tabs>
        <w:tab w:val="right" w:pos="4176"/>
      </w:tabs>
      <w:ind w:left="568" w:hanging="284"/>
    </w:pPr>
    <w:rPr>
      <w:rFonts w:ascii="Garamond" w:hAnsi="Garamond"/>
    </w:rPr>
  </w:style>
  <w:style w:type="paragraph" w:customStyle="1" w:styleId="Byline">
    <w:name w:val="Byline"/>
    <w:rsid w:val="00DC62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2B1"/>
    <w:pPr>
      <w:tabs>
        <w:tab w:val="clear" w:pos="3600"/>
        <w:tab w:val="clear" w:pos="3958"/>
      </w:tabs>
      <w:jc w:val="right"/>
    </w:pPr>
  </w:style>
  <w:style w:type="character" w:styleId="Emphasis">
    <w:name w:val="Emphasis"/>
    <w:basedOn w:val="DefaultParagraphFont"/>
    <w:qFormat/>
    <w:rsid w:val="00DC62B1"/>
    <w:rPr>
      <w:i/>
    </w:rPr>
  </w:style>
  <w:style w:type="paragraph" w:styleId="Caption">
    <w:name w:val="caption"/>
    <w:basedOn w:val="BodyText"/>
    <w:next w:val="Normal"/>
    <w:qFormat/>
    <w:rsid w:val="00DC62B1"/>
    <w:pPr>
      <w:framePr w:w="2268" w:hSpace="181" w:vSpace="181" w:wrap="around" w:vAnchor="text" w:hAnchor="page" w:x="1135" w:y="285" w:anchorLock="1"/>
    </w:pPr>
    <w:rPr>
      <w:i/>
    </w:rPr>
  </w:style>
  <w:style w:type="paragraph" w:customStyle="1" w:styleId="MiniTOCTitle">
    <w:name w:val="MiniTOCTitle"/>
    <w:basedOn w:val="Heading4"/>
    <w:rsid w:val="00DC62B1"/>
    <w:pPr>
      <w:spacing w:before="240"/>
      <w:outlineLvl w:val="9"/>
    </w:pPr>
    <w:rPr>
      <w:noProof/>
      <w:sz w:val="24"/>
    </w:rPr>
  </w:style>
  <w:style w:type="paragraph" w:customStyle="1" w:styleId="MiniTOCItem">
    <w:name w:val="MiniTOCItem"/>
    <w:basedOn w:val="ListBullet"/>
    <w:rsid w:val="00DC62B1"/>
    <w:pPr>
      <w:numPr>
        <w:numId w:val="0"/>
      </w:numPr>
      <w:tabs>
        <w:tab w:val="right" w:leader="dot" w:pos="6521"/>
      </w:tabs>
      <w:spacing w:before="0" w:after="0"/>
    </w:pPr>
  </w:style>
  <w:style w:type="paragraph" w:customStyle="1" w:styleId="TOFTitle">
    <w:name w:val="TOFTitle"/>
    <w:basedOn w:val="TOCTitle"/>
    <w:rsid w:val="00DC62B1"/>
  </w:style>
  <w:style w:type="paragraph" w:styleId="TableofFigures">
    <w:name w:val="table of figures"/>
    <w:basedOn w:val="Normal"/>
    <w:next w:val="Normal"/>
    <w:semiHidden/>
    <w:rsid w:val="00DC62B1"/>
    <w:pPr>
      <w:tabs>
        <w:tab w:val="right" w:leader="dot" w:pos="9072"/>
      </w:tabs>
      <w:ind w:left="970" w:hanging="403"/>
    </w:pPr>
    <w:rPr>
      <w:rFonts w:ascii="Times New Roman" w:hAnsi="Times New Roman"/>
      <w:b/>
    </w:rPr>
  </w:style>
  <w:style w:type="paragraph" w:styleId="ListNumber">
    <w:name w:val="List Number"/>
    <w:basedOn w:val="List"/>
    <w:rsid w:val="00DC62B1"/>
    <w:pPr>
      <w:numPr>
        <w:numId w:val="15"/>
      </w:numPr>
      <w:tabs>
        <w:tab w:val="clear" w:pos="340"/>
      </w:tabs>
    </w:pPr>
  </w:style>
  <w:style w:type="character" w:customStyle="1" w:styleId="WingdingSymbols">
    <w:name w:val="Wingding Symbols"/>
    <w:rsid w:val="00DC62B1"/>
    <w:rPr>
      <w:rFonts w:ascii="Wingdings" w:hAnsi="Wingdings"/>
    </w:rPr>
  </w:style>
  <w:style w:type="paragraph" w:customStyle="1" w:styleId="TableHeading">
    <w:name w:val="Table Heading"/>
    <w:basedOn w:val="HeadingBase"/>
    <w:rsid w:val="00DC62B1"/>
    <w:pPr>
      <w:keepLines/>
      <w:pBdr>
        <w:bottom w:val="single" w:sz="6" w:space="1" w:color="918585"/>
      </w:pBdr>
      <w:spacing w:before="240"/>
    </w:pPr>
  </w:style>
  <w:style w:type="character" w:customStyle="1" w:styleId="HotSpot">
    <w:name w:val="HotSpot"/>
    <w:rsid w:val="00DC62B1"/>
    <w:rPr>
      <w:color w:val="0033CC"/>
      <w:u w:val="none"/>
    </w:rPr>
  </w:style>
  <w:style w:type="paragraph" w:customStyle="1" w:styleId="BodyTextRight">
    <w:name w:val="Body Text Right"/>
    <w:basedOn w:val="BodyText"/>
    <w:rsid w:val="00DC62B1"/>
    <w:pPr>
      <w:spacing w:before="0" w:after="0"/>
      <w:jc w:val="right"/>
    </w:pPr>
  </w:style>
  <w:style w:type="paragraph" w:styleId="Index3">
    <w:name w:val="index 3"/>
    <w:basedOn w:val="ListNumber2"/>
    <w:next w:val="Normal"/>
    <w:semiHidden/>
    <w:rsid w:val="00DC62B1"/>
    <w:pPr>
      <w:numPr>
        <w:numId w:val="0"/>
      </w:numPr>
      <w:tabs>
        <w:tab w:val="right" w:leader="dot" w:pos="4176"/>
      </w:tabs>
    </w:pPr>
  </w:style>
  <w:style w:type="paragraph" w:styleId="ListNumber2">
    <w:name w:val="List Number 2"/>
    <w:basedOn w:val="List2"/>
    <w:rsid w:val="00DC62B1"/>
    <w:pPr>
      <w:numPr>
        <w:numId w:val="10"/>
      </w:numPr>
      <w:tabs>
        <w:tab w:val="clear" w:pos="1060"/>
      </w:tabs>
    </w:pPr>
  </w:style>
  <w:style w:type="paragraph" w:customStyle="1" w:styleId="MarginNote">
    <w:name w:val="Margin Note"/>
    <w:basedOn w:val="BodyText"/>
    <w:rsid w:val="00DC62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2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2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2B1"/>
    <w:rPr>
      <w:sz w:val="32"/>
    </w:rPr>
  </w:style>
  <w:style w:type="paragraph" w:customStyle="1" w:styleId="HeadingProcedure">
    <w:name w:val="Heading Procedure"/>
    <w:basedOn w:val="HeadingBase"/>
    <w:next w:val="Normal"/>
    <w:rsid w:val="00DC62B1"/>
    <w:pPr>
      <w:tabs>
        <w:tab w:val="left" w:pos="0"/>
      </w:tabs>
      <w:spacing w:before="120" w:after="60"/>
    </w:pPr>
    <w:rPr>
      <w:i/>
      <w:color w:val="918585"/>
      <w:sz w:val="22"/>
    </w:rPr>
  </w:style>
  <w:style w:type="paragraph" w:customStyle="1" w:styleId="TableBodyText">
    <w:name w:val="Table Body Text"/>
    <w:basedOn w:val="BodyText"/>
    <w:rsid w:val="00DC62B1"/>
    <w:pPr>
      <w:spacing w:before="60" w:after="60"/>
    </w:pPr>
  </w:style>
  <w:style w:type="paragraph" w:styleId="ListContinue">
    <w:name w:val="List Continue"/>
    <w:basedOn w:val="List"/>
    <w:rsid w:val="00DC62B1"/>
    <w:pPr>
      <w:ind w:firstLine="0"/>
    </w:pPr>
  </w:style>
  <w:style w:type="paragraph" w:customStyle="1" w:styleId="ListNote">
    <w:name w:val="List Note"/>
    <w:basedOn w:val="List"/>
    <w:rsid w:val="00DC62B1"/>
    <w:pPr>
      <w:pBdr>
        <w:top w:val="single" w:sz="6" w:space="2" w:color="918585"/>
        <w:bottom w:val="single" w:sz="6" w:space="2" w:color="918585"/>
      </w:pBdr>
      <w:tabs>
        <w:tab w:val="left" w:pos="1021"/>
      </w:tabs>
      <w:ind w:firstLine="0"/>
    </w:pPr>
  </w:style>
  <w:style w:type="paragraph" w:customStyle="1" w:styleId="Warning">
    <w:name w:val="Warning"/>
    <w:basedOn w:val="BodyText"/>
    <w:rsid w:val="00DC62B1"/>
    <w:pPr>
      <w:shd w:val="clear" w:color="auto" w:fill="D9D9D9"/>
      <w:tabs>
        <w:tab w:val="left" w:pos="992"/>
      </w:tabs>
      <w:ind w:left="119" w:right="119"/>
    </w:pPr>
    <w:rPr>
      <w:sz w:val="20"/>
    </w:rPr>
  </w:style>
  <w:style w:type="paragraph" w:customStyle="1" w:styleId="MarginIcons">
    <w:name w:val="Margin Icons"/>
    <w:basedOn w:val="BodyText"/>
    <w:rsid w:val="00DC62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2B1"/>
    <w:rPr>
      <w:rFonts w:ascii="Courier New" w:hAnsi="Courier New"/>
    </w:rPr>
  </w:style>
  <w:style w:type="paragraph" w:customStyle="1" w:styleId="NoteBullet">
    <w:name w:val="Note Bullet"/>
    <w:basedOn w:val="Note"/>
    <w:rsid w:val="00DC62B1"/>
    <w:pPr>
      <w:tabs>
        <w:tab w:val="clear" w:pos="680"/>
      </w:tabs>
      <w:spacing w:before="60" w:after="60"/>
    </w:pPr>
  </w:style>
  <w:style w:type="paragraph" w:customStyle="1" w:styleId="SubHeading2">
    <w:name w:val="SubHeading2"/>
    <w:basedOn w:val="HeadingBase"/>
    <w:rsid w:val="00DC62B1"/>
    <w:pPr>
      <w:spacing w:before="240" w:after="60"/>
    </w:pPr>
    <w:rPr>
      <w:sz w:val="20"/>
    </w:rPr>
  </w:style>
  <w:style w:type="paragraph" w:customStyle="1" w:styleId="SubHeading1">
    <w:name w:val="SubHeading1"/>
    <w:basedOn w:val="HeadingBase"/>
    <w:rsid w:val="00DC62B1"/>
    <w:pPr>
      <w:spacing w:before="240" w:after="60"/>
    </w:pPr>
    <w:rPr>
      <w:color w:val="918585"/>
      <w:sz w:val="22"/>
    </w:rPr>
  </w:style>
  <w:style w:type="paragraph" w:customStyle="1" w:styleId="SideHeading">
    <w:name w:val="Side Heading"/>
    <w:basedOn w:val="HeadingBase"/>
    <w:rsid w:val="00DC62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2B1"/>
    <w:pPr>
      <w:tabs>
        <w:tab w:val="num" w:pos="360"/>
      </w:tabs>
    </w:pPr>
  </w:style>
  <w:style w:type="paragraph" w:styleId="PlainText">
    <w:name w:val="Plain Text"/>
    <w:basedOn w:val="Normal"/>
    <w:link w:val="PlainTextChar"/>
    <w:rsid w:val="00DC62B1"/>
    <w:rPr>
      <w:sz w:val="20"/>
    </w:rPr>
  </w:style>
  <w:style w:type="character" w:customStyle="1" w:styleId="PlainTextChar">
    <w:name w:val="Plain Text Char"/>
    <w:basedOn w:val="DefaultParagraphFont"/>
    <w:link w:val="PlainText"/>
    <w:rsid w:val="00DC62B1"/>
    <w:rPr>
      <w:rFonts w:ascii="Courier New" w:eastAsia="Times New Roman" w:hAnsi="Courier New" w:cs="Times New Roman"/>
      <w:sz w:val="20"/>
      <w:szCs w:val="20"/>
      <w:lang w:eastAsia="en-US"/>
    </w:rPr>
  </w:style>
  <w:style w:type="character" w:customStyle="1" w:styleId="MenuOption">
    <w:name w:val="Menu Option"/>
    <w:basedOn w:val="DefaultParagraphFont"/>
    <w:rsid w:val="00DC62B1"/>
    <w:rPr>
      <w:b/>
      <w:smallCaps/>
    </w:rPr>
  </w:style>
  <w:style w:type="paragraph" w:customStyle="1" w:styleId="TableListNumber">
    <w:name w:val="Table List Number"/>
    <w:basedOn w:val="ListNumber"/>
    <w:rsid w:val="00DC62B1"/>
    <w:pPr>
      <w:numPr>
        <w:numId w:val="0"/>
      </w:numPr>
    </w:pPr>
  </w:style>
  <w:style w:type="paragraph" w:styleId="TOC4">
    <w:name w:val="toc 4"/>
    <w:basedOn w:val="TOCBase"/>
    <w:next w:val="Normal"/>
    <w:semiHidden/>
    <w:rsid w:val="00DC62B1"/>
    <w:pPr>
      <w:tabs>
        <w:tab w:val="right" w:leader="dot" w:pos="9071"/>
      </w:tabs>
      <w:ind w:left="1701"/>
    </w:pPr>
  </w:style>
  <w:style w:type="paragraph" w:customStyle="1" w:styleId="ListAlpha">
    <w:name w:val="List Alpha"/>
    <w:basedOn w:val="List"/>
    <w:rsid w:val="00DC62B1"/>
    <w:pPr>
      <w:numPr>
        <w:numId w:val="9"/>
      </w:numPr>
    </w:pPr>
  </w:style>
  <w:style w:type="paragraph" w:customStyle="1" w:styleId="ListAlpha2">
    <w:name w:val="List Alpha 2"/>
    <w:basedOn w:val="List2"/>
    <w:rsid w:val="00DC62B1"/>
    <w:pPr>
      <w:numPr>
        <w:numId w:val="8"/>
      </w:numPr>
    </w:pPr>
  </w:style>
  <w:style w:type="paragraph" w:styleId="List2">
    <w:name w:val="List 2"/>
    <w:basedOn w:val="BodyText"/>
    <w:rsid w:val="00DC62B1"/>
    <w:pPr>
      <w:tabs>
        <w:tab w:val="left" w:pos="680"/>
      </w:tabs>
      <w:spacing w:before="60" w:after="60"/>
      <w:ind w:left="680" w:hanging="340"/>
    </w:pPr>
  </w:style>
  <w:style w:type="paragraph" w:styleId="List3">
    <w:name w:val="List 3"/>
    <w:basedOn w:val="BodyText"/>
    <w:rsid w:val="00DC62B1"/>
    <w:pPr>
      <w:tabs>
        <w:tab w:val="left" w:pos="1021"/>
      </w:tabs>
      <w:spacing w:before="60" w:after="60"/>
      <w:ind w:left="1020" w:hanging="340"/>
    </w:pPr>
  </w:style>
  <w:style w:type="paragraph" w:styleId="List4">
    <w:name w:val="List 4"/>
    <w:basedOn w:val="BodyText"/>
    <w:rsid w:val="00DC62B1"/>
    <w:pPr>
      <w:tabs>
        <w:tab w:val="left" w:pos="1361"/>
      </w:tabs>
      <w:spacing w:before="60" w:after="60"/>
      <w:ind w:left="1361" w:hanging="340"/>
    </w:pPr>
  </w:style>
  <w:style w:type="paragraph" w:styleId="List5">
    <w:name w:val="List 5"/>
    <w:basedOn w:val="BodyText"/>
    <w:rsid w:val="00DC62B1"/>
    <w:pPr>
      <w:tabs>
        <w:tab w:val="left" w:pos="1701"/>
      </w:tabs>
      <w:spacing w:before="60" w:after="60"/>
      <w:ind w:left="1701" w:hanging="340"/>
    </w:pPr>
  </w:style>
  <w:style w:type="paragraph" w:styleId="ListBullet3">
    <w:name w:val="List Bullet 3"/>
    <w:basedOn w:val="List3"/>
    <w:rsid w:val="00DC62B1"/>
    <w:pPr>
      <w:numPr>
        <w:numId w:val="14"/>
      </w:numPr>
      <w:tabs>
        <w:tab w:val="clear" w:pos="1021"/>
      </w:tabs>
      <w:ind w:left="1037" w:hanging="357"/>
    </w:pPr>
  </w:style>
  <w:style w:type="paragraph" w:styleId="ListBullet4">
    <w:name w:val="List Bullet 4"/>
    <w:basedOn w:val="List4"/>
    <w:rsid w:val="00DC62B1"/>
    <w:pPr>
      <w:numPr>
        <w:numId w:val="3"/>
      </w:numPr>
      <w:tabs>
        <w:tab w:val="clear" w:pos="1361"/>
      </w:tabs>
    </w:pPr>
  </w:style>
  <w:style w:type="paragraph" w:styleId="ListBullet5">
    <w:name w:val="List Bullet 5"/>
    <w:basedOn w:val="List5"/>
    <w:rsid w:val="00DC62B1"/>
    <w:pPr>
      <w:numPr>
        <w:numId w:val="4"/>
      </w:numPr>
    </w:pPr>
  </w:style>
  <w:style w:type="paragraph" w:styleId="ListContinue2">
    <w:name w:val="List Continue 2"/>
    <w:basedOn w:val="List2"/>
    <w:rsid w:val="00DC62B1"/>
    <w:pPr>
      <w:ind w:firstLine="0"/>
    </w:pPr>
  </w:style>
  <w:style w:type="paragraph" w:styleId="ListContinue3">
    <w:name w:val="List Continue 3"/>
    <w:basedOn w:val="List3"/>
    <w:rsid w:val="00DC62B1"/>
    <w:pPr>
      <w:ind w:left="1021" w:firstLine="0"/>
    </w:pPr>
  </w:style>
  <w:style w:type="paragraph" w:styleId="ListContinue4">
    <w:name w:val="List Continue 4"/>
    <w:basedOn w:val="List4"/>
    <w:rsid w:val="00DC62B1"/>
    <w:pPr>
      <w:ind w:firstLine="0"/>
    </w:pPr>
  </w:style>
  <w:style w:type="paragraph" w:styleId="ListContinue5">
    <w:name w:val="List Continue 5"/>
    <w:basedOn w:val="List5"/>
    <w:rsid w:val="00DC62B1"/>
    <w:pPr>
      <w:ind w:firstLine="0"/>
    </w:pPr>
  </w:style>
  <w:style w:type="paragraph" w:styleId="ListNumber3">
    <w:name w:val="List Number 3"/>
    <w:basedOn w:val="List3"/>
    <w:rsid w:val="00DC62B1"/>
    <w:pPr>
      <w:numPr>
        <w:numId w:val="5"/>
      </w:numPr>
    </w:pPr>
  </w:style>
  <w:style w:type="paragraph" w:styleId="ListNumber4">
    <w:name w:val="List Number 4"/>
    <w:basedOn w:val="List4"/>
    <w:rsid w:val="00DC62B1"/>
    <w:pPr>
      <w:numPr>
        <w:numId w:val="6"/>
      </w:numPr>
    </w:pPr>
  </w:style>
  <w:style w:type="paragraph" w:styleId="ListNumber5">
    <w:name w:val="List Number 5"/>
    <w:basedOn w:val="List5"/>
    <w:rsid w:val="00DC62B1"/>
    <w:pPr>
      <w:numPr>
        <w:numId w:val="7"/>
      </w:numPr>
    </w:pPr>
  </w:style>
  <w:style w:type="paragraph" w:styleId="BlockText">
    <w:name w:val="Block Text"/>
    <w:basedOn w:val="Normal"/>
    <w:rsid w:val="00DC62B1"/>
    <w:pPr>
      <w:spacing w:after="120"/>
      <w:ind w:left="1440" w:right="1440"/>
    </w:pPr>
  </w:style>
  <w:style w:type="character" w:customStyle="1" w:styleId="Subscript">
    <w:name w:val="Subscript"/>
    <w:basedOn w:val="DefaultParagraphFont"/>
    <w:rsid w:val="00DC62B1"/>
    <w:rPr>
      <w:sz w:val="16"/>
      <w:vertAlign w:val="subscript"/>
    </w:rPr>
  </w:style>
  <w:style w:type="character" w:customStyle="1" w:styleId="Superscript">
    <w:name w:val="Superscript"/>
    <w:basedOn w:val="DefaultParagraphFont"/>
    <w:rsid w:val="00DC62B1"/>
    <w:rPr>
      <w:sz w:val="16"/>
      <w:vertAlign w:val="superscript"/>
    </w:rPr>
  </w:style>
  <w:style w:type="character" w:customStyle="1" w:styleId="Symbols">
    <w:name w:val="Symbols"/>
    <w:basedOn w:val="DefaultParagraphFont"/>
    <w:rsid w:val="00DC62B1"/>
    <w:rPr>
      <w:rFonts w:ascii="Symbol" w:hAnsi="Symbol"/>
    </w:rPr>
  </w:style>
  <w:style w:type="character" w:customStyle="1" w:styleId="MenuOptions">
    <w:name w:val="Menu Options"/>
    <w:basedOn w:val="DefaultParagraphFont"/>
    <w:rsid w:val="00DC62B1"/>
    <w:rPr>
      <w:rFonts w:ascii="Arial Narrow" w:hAnsi="Arial Narrow"/>
      <w:smallCaps/>
    </w:rPr>
  </w:style>
  <w:style w:type="character" w:customStyle="1" w:styleId="Buttons">
    <w:name w:val="Buttons"/>
    <w:basedOn w:val="DefaultParagraphFont"/>
    <w:rsid w:val="00DC62B1"/>
    <w:rPr>
      <w:b/>
    </w:rPr>
  </w:style>
  <w:style w:type="character" w:customStyle="1" w:styleId="Underlined">
    <w:name w:val="Underlined"/>
    <w:basedOn w:val="DefaultParagraphFont"/>
    <w:rsid w:val="00DC62B1"/>
    <w:rPr>
      <w:u w:val="single"/>
    </w:rPr>
  </w:style>
  <w:style w:type="paragraph" w:customStyle="1" w:styleId="TableBodyTextRight">
    <w:name w:val="Table Body Text Right"/>
    <w:basedOn w:val="TableBodyText"/>
    <w:rsid w:val="00DC62B1"/>
    <w:pPr>
      <w:widowControl w:val="0"/>
      <w:autoSpaceDE w:val="0"/>
      <w:autoSpaceDN w:val="0"/>
      <w:adjustRightInd w:val="0"/>
      <w:jc w:val="right"/>
    </w:pPr>
    <w:rPr>
      <w:rFonts w:cs="Arial"/>
      <w:szCs w:val="18"/>
    </w:rPr>
  </w:style>
  <w:style w:type="paragraph" w:customStyle="1" w:styleId="CopyrightText">
    <w:name w:val="Copyright Text"/>
    <w:basedOn w:val="BodyText"/>
    <w:rsid w:val="00DC62B1"/>
    <w:rPr>
      <w:sz w:val="18"/>
    </w:rPr>
  </w:style>
  <w:style w:type="paragraph" w:customStyle="1" w:styleId="BodySmallRight">
    <w:name w:val="Body Small Right"/>
    <w:basedOn w:val="BodyTextRight"/>
    <w:rsid w:val="00DC62B1"/>
    <w:rPr>
      <w:sz w:val="18"/>
      <w:szCs w:val="18"/>
    </w:rPr>
  </w:style>
  <w:style w:type="paragraph" w:customStyle="1" w:styleId="MarginEdition">
    <w:name w:val="Margin Edition"/>
    <w:basedOn w:val="MarginNote"/>
    <w:rsid w:val="00DC62B1"/>
    <w:pPr>
      <w:spacing w:before="0" w:after="0"/>
    </w:pPr>
    <w:rPr>
      <w:rFonts w:ascii="Times New Roman" w:hAnsi="Times New Roman"/>
      <w:color w:val="999999"/>
    </w:rPr>
  </w:style>
  <w:style w:type="paragraph" w:customStyle="1" w:styleId="Spacer">
    <w:name w:val="Spacer"/>
    <w:basedOn w:val="Normal"/>
    <w:rsid w:val="00DC62B1"/>
    <w:rPr>
      <w:sz w:val="2"/>
      <w:szCs w:val="2"/>
    </w:rPr>
  </w:style>
  <w:style w:type="character" w:customStyle="1" w:styleId="Small">
    <w:name w:val="Small"/>
    <w:basedOn w:val="DefaultParagraphFont"/>
    <w:rsid w:val="00DC62B1"/>
    <w:rPr>
      <w:sz w:val="16"/>
    </w:rPr>
  </w:style>
  <w:style w:type="paragraph" w:customStyle="1" w:styleId="WideTable">
    <w:name w:val="Wide Table"/>
    <w:basedOn w:val="Normal"/>
    <w:rsid w:val="00DC62B1"/>
    <w:pPr>
      <w:ind w:left="-1418"/>
    </w:pPr>
    <w:rPr>
      <w:sz w:val="2"/>
      <w:szCs w:val="2"/>
    </w:rPr>
  </w:style>
  <w:style w:type="character" w:styleId="PageNumber">
    <w:name w:val="page number"/>
    <w:basedOn w:val="DefaultParagraphFont"/>
    <w:rsid w:val="00DC62B1"/>
  </w:style>
  <w:style w:type="paragraph" w:styleId="Quote">
    <w:name w:val="Quote"/>
    <w:basedOn w:val="Heading1"/>
    <w:link w:val="QuoteChar"/>
    <w:qFormat/>
    <w:rsid w:val="00DC62B1"/>
    <w:rPr>
      <w:b w:val="0"/>
      <w:sz w:val="72"/>
      <w:szCs w:val="72"/>
      <w:lang w:val="en-NZ"/>
    </w:rPr>
  </w:style>
  <w:style w:type="character" w:customStyle="1" w:styleId="QuoteChar">
    <w:name w:val="Quote Char"/>
    <w:basedOn w:val="DefaultParagraphFont"/>
    <w:link w:val="Quote"/>
    <w:rsid w:val="00DC62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2B1"/>
    <w:pPr>
      <w:pageBreakBefore/>
    </w:pPr>
  </w:style>
  <w:style w:type="paragraph" w:customStyle="1" w:styleId="Border">
    <w:name w:val="Border"/>
    <w:basedOn w:val="Normal"/>
    <w:qFormat/>
    <w:rsid w:val="00DC62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2B1"/>
    <w:rPr>
      <w:b/>
      <w:bCs/>
      <w:i/>
      <w:iCs/>
      <w:color w:val="auto"/>
    </w:rPr>
  </w:style>
  <w:style w:type="paragraph" w:styleId="IntenseQuote">
    <w:name w:val="Intense Quote"/>
    <w:basedOn w:val="Normal"/>
    <w:next w:val="Normal"/>
    <w:link w:val="IntenseQuoteChar"/>
    <w:uiPriority w:val="30"/>
    <w:qFormat/>
    <w:rsid w:val="00DC62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2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2B1"/>
    <w:rPr>
      <w:smallCaps/>
      <w:color w:val="auto"/>
      <w:u w:val="single"/>
    </w:rPr>
  </w:style>
  <w:style w:type="character" w:styleId="IntenseReference">
    <w:name w:val="Intense Reference"/>
    <w:basedOn w:val="DefaultParagraphFont"/>
    <w:uiPriority w:val="32"/>
    <w:qFormat/>
    <w:rsid w:val="00DC62B1"/>
    <w:rPr>
      <w:b/>
      <w:bCs/>
      <w:smallCaps/>
      <w:color w:val="auto"/>
      <w:spacing w:val="5"/>
      <w:u w:val="single"/>
    </w:rPr>
  </w:style>
  <w:style w:type="paragraph" w:customStyle="1" w:styleId="2ColumnHeading">
    <w:name w:val="2Column Heading"/>
    <w:basedOn w:val="BodyText"/>
    <w:qFormat/>
    <w:rsid w:val="00DC62B1"/>
    <w:pPr>
      <w:spacing w:after="60"/>
      <w:ind w:left="-2268"/>
    </w:pPr>
    <w:rPr>
      <w:b/>
    </w:rPr>
  </w:style>
  <w:style w:type="paragraph" w:customStyle="1" w:styleId="Heading1TOC">
    <w:name w:val="Heading1 TOC"/>
    <w:basedOn w:val="Normal"/>
    <w:qFormat/>
    <w:rsid w:val="00DC62B1"/>
    <w:pPr>
      <w:spacing w:before="240" w:after="120"/>
    </w:pPr>
    <w:rPr>
      <w:rFonts w:ascii="Times New Roman" w:hAnsi="Times New Roman"/>
      <w:b/>
      <w:sz w:val="32"/>
    </w:rPr>
  </w:style>
  <w:style w:type="paragraph" w:customStyle="1" w:styleId="Heading2TOC">
    <w:name w:val="Heading2 TOC"/>
    <w:basedOn w:val="Normal"/>
    <w:qFormat/>
    <w:rsid w:val="00DC62B1"/>
    <w:pPr>
      <w:spacing w:before="240" w:after="60"/>
    </w:pPr>
    <w:rPr>
      <w:rFonts w:ascii="Times New Roman" w:hAnsi="Times New Roman"/>
      <w:b/>
      <w:sz w:val="28"/>
    </w:rPr>
  </w:style>
  <w:style w:type="character" w:customStyle="1" w:styleId="Underline">
    <w:name w:val="Underline"/>
    <w:basedOn w:val="DefaultParagraphFont"/>
    <w:qFormat/>
    <w:rsid w:val="00DC62B1"/>
    <w:rPr>
      <w:u w:val="single"/>
    </w:rPr>
  </w:style>
  <w:style w:type="character" w:customStyle="1" w:styleId="BoldandItalics">
    <w:name w:val="Bold and Italics"/>
    <w:qFormat/>
    <w:rsid w:val="00DC62B1"/>
    <w:rPr>
      <w:b/>
      <w:i/>
      <w:u w:val="none"/>
    </w:rPr>
  </w:style>
  <w:style w:type="paragraph" w:styleId="BalloonText">
    <w:name w:val="Balloon Text"/>
    <w:basedOn w:val="Normal"/>
    <w:link w:val="BalloonTextChar"/>
    <w:rsid w:val="00DC62B1"/>
    <w:rPr>
      <w:rFonts w:ascii="Tahoma" w:hAnsi="Tahoma" w:cs="Tahoma"/>
      <w:sz w:val="16"/>
      <w:szCs w:val="16"/>
    </w:rPr>
  </w:style>
  <w:style w:type="character" w:customStyle="1" w:styleId="BalloonTextChar">
    <w:name w:val="Balloon Text Char"/>
    <w:basedOn w:val="DefaultParagraphFont"/>
    <w:link w:val="BalloonText"/>
    <w:rsid w:val="00DC62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2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2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2B1"/>
    <w:rPr>
      <w:b/>
      <w:color w:val="660033"/>
      <w:spacing w:val="0"/>
    </w:rPr>
  </w:style>
  <w:style w:type="paragraph" w:customStyle="1" w:styleId="Nameditemlist">
    <w:name w:val="Named item list"/>
    <w:basedOn w:val="BodyText"/>
    <w:qFormat/>
    <w:rsid w:val="00DC62B1"/>
    <w:pPr>
      <w:tabs>
        <w:tab w:val="left" w:pos="2835"/>
      </w:tabs>
      <w:ind w:left="2835" w:hanging="2835"/>
    </w:pPr>
  </w:style>
  <w:style w:type="paragraph" w:customStyle="1" w:styleId="BodyTextnopadding">
    <w:name w:val="Body Text no padding"/>
    <w:basedOn w:val="BodyText"/>
    <w:qFormat/>
    <w:rsid w:val="00DC62B1"/>
    <w:pPr>
      <w:spacing w:before="0" w:after="0"/>
    </w:pPr>
  </w:style>
  <w:style w:type="paragraph" w:customStyle="1" w:styleId="BodyTextBold">
    <w:name w:val="Body Text Bold"/>
    <w:basedOn w:val="BodyText"/>
    <w:qFormat/>
    <w:rsid w:val="00DC62B1"/>
    <w:rPr>
      <w:b/>
    </w:rPr>
  </w:style>
  <w:style w:type="character" w:styleId="Hyperlink">
    <w:name w:val="Hyperlink"/>
    <w:basedOn w:val="DefaultParagraphFont"/>
    <w:uiPriority w:val="99"/>
    <w:unhideWhenUsed/>
    <w:rsid w:val="00325D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8066</Characters>
  <Application>Microsoft Office Word</Application>
  <DocSecurity>0</DocSecurity>
  <Lines>278</Lines>
  <Paragraphs>148</Paragraphs>
  <ScaleCrop>false</ScaleCrop>
  <Company>Author-it Software Corporation Ltd.</Company>
  <LinksUpToDate>false</LinksUpToDate>
  <CharactersWithSpaces>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CPPFES2027 Inspect, test and maintain non-gaseous pre-engineered fire-suppression systems</dc:title>
  <dc:subject>Approved</dc:subject>
  <dc:creator>BuildSkills Australia</dc:creator>
  <cp:keywords>Release: 1</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